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25DAC">
      <w:pPr>
        <w:rPr>
          <w:rFonts w:hint="eastAsia"/>
        </w:rPr>
      </w:pPr>
    </w:p>
    <w:p w14:paraId="3270594A">
      <w:pPr>
        <w:rPr>
          <w:rFonts w:hint="eastAsia"/>
        </w:rPr>
      </w:pPr>
    </w:p>
    <w:p w14:paraId="1B1E4281">
      <w:pPr>
        <w:rPr>
          <w:rFonts w:hint="eastAsia"/>
        </w:rPr>
      </w:pPr>
    </w:p>
    <w:p w14:paraId="72EA0170">
      <w:pPr>
        <w:rPr>
          <w:rFonts w:hint="eastAsia"/>
        </w:rPr>
      </w:pPr>
    </w:p>
    <w:p w14:paraId="164616D5">
      <w:pPr>
        <w:rPr>
          <w:rFonts w:hint="eastAsia"/>
        </w:rPr>
      </w:pPr>
    </w:p>
    <w:p w14:paraId="19E6A7A6">
      <w:pPr>
        <w:spacing w:after="200" w:line="336" w:lineRule="auto"/>
        <w:jc w:val="center"/>
        <w:rPr>
          <w:rFonts w:hint="eastAsia" w:ascii="黑体" w:hAnsi="黑体" w:eastAsia="黑体" w:cs="黑体"/>
          <w:b w:val="0"/>
          <w:bCs/>
          <w:lang w:eastAsia="zh-CN"/>
        </w:rPr>
      </w:pPr>
      <w:r>
        <w:rPr>
          <w:rFonts w:hint="eastAsia" w:ascii="黑体" w:hAnsi="黑体" w:eastAsia="黑体" w:cs="黑体"/>
          <w:b w:val="0"/>
          <w:bCs/>
          <w:sz w:val="36"/>
          <w:lang w:eastAsia="zh-CN"/>
        </w:rPr>
        <w:t>《智能网联汽车交通仿真测试软件可信度评估》</w:t>
      </w:r>
    </w:p>
    <w:p w14:paraId="40BA3C9C">
      <w:pPr>
        <w:spacing w:line="336" w:lineRule="auto"/>
        <w:jc w:val="center"/>
        <w:rPr>
          <w:rFonts w:hint="eastAsia" w:ascii="黑体" w:hAnsi="黑体" w:eastAsia="黑体" w:cs="黑体"/>
          <w:b w:val="0"/>
          <w:bCs/>
          <w:lang w:eastAsia="zh-CN"/>
        </w:rPr>
      </w:pPr>
      <w:r>
        <w:rPr>
          <w:rFonts w:hint="eastAsia" w:ascii="黑体" w:hAnsi="黑体" w:eastAsia="黑体" w:cs="黑体"/>
          <w:b w:val="0"/>
          <w:bCs/>
          <w:sz w:val="36"/>
          <w:lang w:eastAsia="zh-CN"/>
        </w:rPr>
        <w:t>团体标准编制说明</w:t>
      </w:r>
    </w:p>
    <w:p w14:paraId="43B3F414">
      <w:pPr>
        <w:rPr>
          <w:rFonts w:hint="eastAsia"/>
          <w:lang w:eastAsia="zh-CN"/>
        </w:rPr>
      </w:pPr>
    </w:p>
    <w:p w14:paraId="69A78113">
      <w:pPr>
        <w:rPr>
          <w:rFonts w:hint="eastAsia"/>
          <w:lang w:eastAsia="zh-CN"/>
        </w:rPr>
      </w:pPr>
    </w:p>
    <w:p w14:paraId="5A0F9FA0">
      <w:pPr>
        <w:rPr>
          <w:rFonts w:hint="eastAsia"/>
          <w:lang w:eastAsia="zh-CN"/>
        </w:rPr>
      </w:pPr>
    </w:p>
    <w:p w14:paraId="246BA248">
      <w:pPr>
        <w:rPr>
          <w:rFonts w:hint="eastAsia"/>
          <w:lang w:eastAsia="zh-CN"/>
        </w:rPr>
      </w:pPr>
    </w:p>
    <w:p w14:paraId="503D5FE0">
      <w:pPr>
        <w:rPr>
          <w:rFonts w:hint="eastAsia"/>
          <w:lang w:eastAsia="zh-CN"/>
        </w:rPr>
      </w:pPr>
    </w:p>
    <w:p w14:paraId="5D93E54C">
      <w:pPr>
        <w:rPr>
          <w:rFonts w:hint="eastAsia"/>
          <w:lang w:eastAsia="zh-CN"/>
        </w:rPr>
      </w:pPr>
    </w:p>
    <w:p w14:paraId="0DD0750C">
      <w:pPr>
        <w:rPr>
          <w:rFonts w:hint="eastAsia"/>
          <w:lang w:eastAsia="zh-CN"/>
        </w:rPr>
      </w:pPr>
    </w:p>
    <w:p w14:paraId="1126F812">
      <w:pPr>
        <w:rPr>
          <w:rFonts w:hint="eastAsia"/>
          <w:lang w:eastAsia="zh-CN"/>
        </w:rPr>
      </w:pPr>
    </w:p>
    <w:p w14:paraId="1F07928C">
      <w:pPr>
        <w:rPr>
          <w:rFonts w:hint="eastAsia"/>
          <w:lang w:eastAsia="zh-CN"/>
        </w:rPr>
      </w:pPr>
    </w:p>
    <w:p w14:paraId="008DCDB2">
      <w:pPr>
        <w:jc w:val="center"/>
        <w:rPr>
          <w:rFonts w:hint="eastAsia" w:ascii="黑体" w:hAnsi="黑体" w:eastAsia="黑体" w:cs="黑体"/>
          <w:b w:val="0"/>
          <w:bCs/>
          <w:lang w:eastAsia="zh-CN"/>
        </w:rPr>
      </w:pPr>
      <w:r>
        <w:rPr>
          <w:rFonts w:hint="eastAsia" w:ascii="黑体" w:hAnsi="黑体" w:eastAsia="黑体" w:cs="黑体"/>
          <w:b w:val="0"/>
          <w:bCs/>
          <w:sz w:val="28"/>
          <w:lang w:eastAsia="zh-CN"/>
        </w:rPr>
        <w:t>标准起草组</w:t>
      </w:r>
    </w:p>
    <w:p w14:paraId="5B18C80E">
      <w:pPr>
        <w:jc w:val="center"/>
        <w:rPr>
          <w:rFonts w:hint="eastAsia" w:ascii="宋体" w:hAnsi="宋体" w:eastAsia="宋体" w:cs="宋体"/>
          <w:lang w:eastAsia="zh-CN"/>
        </w:rPr>
      </w:pPr>
      <w:r>
        <w:rPr>
          <w:rFonts w:hint="eastAsia" w:ascii="宋体" w:hAnsi="宋体" w:eastAsia="宋体" w:cs="宋体"/>
          <w:sz w:val="28"/>
          <w:lang w:eastAsia="zh-CN"/>
        </w:rPr>
        <w:t>2026年8月</w:t>
      </w:r>
    </w:p>
    <w:p w14:paraId="60BFA93C">
      <w:pPr>
        <w:ind w:firstLine="0"/>
        <w:rPr>
          <w:rFonts w:hint="eastAsia"/>
          <w:lang w:eastAsia="zh-CN"/>
        </w:rPr>
        <w:sectPr>
          <w:pgSz w:w="11906" w:h="16838"/>
          <w:pgMar w:top="1417" w:right="1587" w:bottom="1417" w:left="1587" w:header="720" w:footer="720" w:gutter="0"/>
          <w:cols w:space="720" w:num="1"/>
          <w:docGrid w:linePitch="360" w:charSpace="0"/>
        </w:sectPr>
      </w:pPr>
    </w:p>
    <w:p w14:paraId="3DADE413">
      <w:pPr>
        <w:pStyle w:val="4"/>
        <w:spacing w:before="0" w:after="0" w:line="360" w:lineRule="atLeast"/>
        <w:jc w:val="cente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前置摘要</w:t>
      </w:r>
    </w:p>
    <w:p w14:paraId="1912ECD7">
      <w:pPr>
        <w:spacing w:line="360" w:lineRule="atLeast"/>
        <w:rPr>
          <w:rFonts w:ascii="Arial" w:hAnsi="Arial" w:cs="Arial"/>
          <w:lang w:eastAsia="zh-CN"/>
        </w:rPr>
      </w:pPr>
    </w:p>
    <w:p w14:paraId="432D429E">
      <w:pPr>
        <w:keepNext w:val="0"/>
        <w:keepLines w:val="0"/>
        <w:pageBreakBefore w:val="0"/>
        <w:widowControl/>
        <w:kinsoku/>
        <w:wordWrap/>
        <w:overflowPunct/>
        <w:topLinePunct w:val="0"/>
        <w:autoSpaceDE/>
        <w:autoSpaceDN/>
        <w:bidi w:val="0"/>
        <w:adjustRightInd/>
        <w:snapToGrid/>
        <w:spacing w:line="440" w:lineRule="exact"/>
        <w:ind w:firstLine="42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本文件为中国仿真学会归口团体标准《智能网联汽车交通仿真测试软件可信度评估》配套编制说明。</w:t>
      </w:r>
    </w:p>
    <w:p w14:paraId="610C1532">
      <w:pPr>
        <w:keepNext w:val="0"/>
        <w:keepLines w:val="0"/>
        <w:pageBreakBefore w:val="0"/>
        <w:widowControl/>
        <w:kinsoku/>
        <w:wordWrap/>
        <w:overflowPunct/>
        <w:topLinePunct w:val="0"/>
        <w:autoSpaceDE/>
        <w:autoSpaceDN/>
        <w:bidi w:val="0"/>
        <w:adjustRightInd/>
        <w:snapToGrid/>
        <w:spacing w:line="440" w:lineRule="exact"/>
        <w:ind w:firstLine="42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标准创新构建</w:t>
      </w:r>
      <w:r>
        <w:rPr>
          <w:rStyle w:val="136"/>
          <w:rFonts w:hint="default" w:ascii="Times New Roman" w:hAnsi="Times New Roman" w:eastAsia="宋体" w:cs="Times New Roman"/>
          <w:b w:val="0"/>
          <w:bCs w:val="0"/>
          <w:sz w:val="21"/>
          <w:szCs w:val="21"/>
          <w:lang w:eastAsia="zh-CN"/>
        </w:rPr>
        <w:t>GB/T 47025—2026</w:t>
      </w:r>
      <w:r>
        <w:rPr>
          <w:rStyle w:val="136"/>
          <w:rFonts w:hint="eastAsia" w:ascii="宋体" w:hAnsi="宋体" w:eastAsia="宋体" w:cs="宋体"/>
          <w:b w:val="0"/>
          <w:bCs w:val="0"/>
          <w:sz w:val="21"/>
          <w:szCs w:val="21"/>
          <w:lang w:eastAsia="zh-CN"/>
        </w:rPr>
        <w:t>可信度证据前置核查 + 五类专业能力加权评分</w:t>
      </w:r>
      <w:r>
        <w:rPr>
          <w:rFonts w:hint="eastAsia" w:ascii="宋体" w:hAnsi="宋体" w:eastAsia="宋体" w:cs="宋体"/>
          <w:sz w:val="21"/>
          <w:szCs w:val="21"/>
          <w:lang w:eastAsia="zh-CN"/>
        </w:rPr>
        <w:t>双轨评估框架，统一智能网联汽车交通仿真软件评价边界、量化指标、试验方法与可信度分级规则，适配</w:t>
      </w:r>
      <w:r>
        <w:rPr>
          <w:rStyle w:val="136"/>
          <w:rFonts w:hint="eastAsia" w:ascii="宋体" w:hAnsi="宋体" w:eastAsia="宋体" w:cs="宋体"/>
          <w:b w:val="0"/>
          <w:bCs w:val="0"/>
          <w:sz w:val="21"/>
          <w:szCs w:val="21"/>
          <w:lang w:eastAsia="zh-CN"/>
        </w:rPr>
        <w:t>SIL/HIL/VIL/</w:t>
      </w:r>
      <w:r>
        <w:rPr>
          <w:rFonts w:hint="eastAsia" w:ascii="宋体" w:hAnsi="宋体" w:eastAsia="宋体" w:cs="宋体"/>
          <w:sz w:val="21"/>
          <w:szCs w:val="21"/>
          <w:lang w:eastAsia="zh-CN"/>
        </w:rPr>
        <w:t>虚实结合全链路仿真测试场景，填补国内交通仿真专项可信度量化评价标准空白。</w:t>
      </w:r>
    </w:p>
    <w:p w14:paraId="531380BF">
      <w:pPr>
        <w:keepNext w:val="0"/>
        <w:keepLines w:val="0"/>
        <w:pageBreakBefore w:val="0"/>
        <w:widowControl/>
        <w:kinsoku/>
        <w:wordWrap/>
        <w:overflowPunct/>
        <w:topLinePunct w:val="0"/>
        <w:autoSpaceDE/>
        <w:autoSpaceDN/>
        <w:bidi w:val="0"/>
        <w:adjustRightInd/>
        <w:snapToGrid/>
        <w:spacing w:line="440" w:lineRule="exact"/>
        <w:ind w:firstLine="42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编制阶段完成行业调研、多轮专家定向征求意见、多类型仿真软件试点验证，与现行国标、国际仿真规范形成互补衔接，可支撑仿真软件厂商自评估、整车企业工具选型、第三方检测机构标准化评价工作。</w:t>
      </w:r>
    </w:p>
    <w:p w14:paraId="608D1B7B">
      <w:pPr>
        <w:spacing w:after="240" w:line="288" w:lineRule="auto"/>
        <w:jc w:val="center"/>
        <w:rPr>
          <w:rFonts w:hint="eastAsia"/>
          <w:b/>
          <w:sz w:val="32"/>
          <w:lang w:eastAsia="zh-CN"/>
        </w:rPr>
      </w:pPr>
    </w:p>
    <w:p w14:paraId="3C8AEE78">
      <w:pPr>
        <w:spacing w:after="200" w:line="276" w:lineRule="auto"/>
        <w:ind w:firstLine="0"/>
        <w:rPr>
          <w:rFonts w:hint="eastAsia" w:ascii="宋体" w:hAnsi="宋体" w:eastAsia="宋体" w:cs="宋体"/>
          <w:b w:val="0"/>
          <w:bCs/>
          <w:sz w:val="32"/>
          <w:lang w:eastAsia="zh-CN"/>
        </w:rPr>
      </w:pPr>
      <w:r>
        <w:rPr>
          <w:b/>
          <w:sz w:val="32"/>
          <w:lang w:eastAsia="zh-CN"/>
        </w:rPr>
        <w:br w:type="page"/>
      </w:r>
    </w:p>
    <w:p w14:paraId="33CC5A89">
      <w:pPr>
        <w:spacing w:after="240" w:line="288" w:lineRule="auto"/>
        <w:jc w:val="center"/>
        <w:rPr>
          <w:rFonts w:hint="eastAsia"/>
        </w:rPr>
      </w:pPr>
      <w:r>
        <w:rPr>
          <w:b/>
          <w:sz w:val="32"/>
        </w:rPr>
        <w:t>目  次</w:t>
      </w:r>
    </w:p>
    <w:p w14:paraId="59C86E00">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rPr>
        <w:fldChar w:fldCharType="begin"/>
      </w:r>
      <w:r>
        <w:rPr>
          <w:rFonts w:hint="eastAsia"/>
        </w:rPr>
        <w:instrText xml:space="preserve"> </w:instrText>
      </w:r>
      <w:r>
        <w:instrText xml:space="preserve">TOC \o "1-3" \h \z \u</w:instrText>
      </w:r>
      <w:r>
        <w:rPr>
          <w:rFonts w:hint="eastAsia"/>
        </w:rPr>
        <w:instrText xml:space="preserve"> </w:instrText>
      </w:r>
      <w:r>
        <w:rPr>
          <w:rFonts w:hint="eastAsia"/>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"_Toc237075088"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1  工作简况</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_Toc237075088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930E9E9">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"_Toc237075089"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1.1  编制任务与起草组织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_Toc237075089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48A8FC5">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"_Toc237075090"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1.2  主要工作过程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_Toc237075090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2BA69C9">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"_Toc237075091"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1.3  征求意见及处理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_Toc237075091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79091B">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"_Toc237075092"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rPr>
        <w:t>2  制定背景与必要性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_Toc237075092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25F166B">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"_Toc237075093"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rPr>
        <w:t>2.1  制定背景</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_Toc237075093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EBD6E5">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"_Toc237075094"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2.2  制定必要性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_Toc237075094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69FE8BB">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"_Toc237075095"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2.3  制定目标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_Toc237075095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FB02A18">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"_Toc237075096"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3  编制原则、适用范围和使用对象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_Toc237075096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4BC498">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"_Toc237075097"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3.1  编制原则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_Toc237075097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9C1C7F2">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"_Toc237075098"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3.2  适用范围与边界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_Toc237075098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A2068C0">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"_Toc237075099"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3.3  使用对象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_Toc237075099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85F85C9">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"_Toc237075100"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  主要技术内容及编写考虑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_Toc237075100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39C4990">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"_Toc237075101"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4.1  内容安排逻辑</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_Toc237075101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DBECF1C">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"_Toc237075102"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4.2  总体评估框架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_Toc237075102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C1C4F0C">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"_Toc237075103"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4.3  第4章能力要求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_Toc237075103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5114C28">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"_Toc237075104"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4.4  第5章专业能力指标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_Toc237075104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3A3A1B4">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"_Toc237075105"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4.5  第6章评估实施与等级判定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_Toc237075105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77F43F1">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"_Toc237075106"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4.6  资料性附录A</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_Toc237075106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85E4E50">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"_Toc237075107"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5  与相关标准的关系及国内外对比</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_Toc237075107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4EF4421">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"_Toc237075108"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5.1  与GB/T 47025—2026的衔接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_Toc237075108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A15837F">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"_Toc237075109"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5.2  其他引用文件的作用</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_Toc237075109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662935B">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"_Toc237075110"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5.3  与相关评价的衔接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_Toc237075110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EBBB2F9">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"_Toc237075111"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6  专家意见处理情况</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_Toc237075111 \h </w:instrText>
      </w:r>
      <w:r>
        <w:rPr>
          <w:rFonts w:hint="eastAsia" w:ascii="宋体" w:hAnsi="宋体" w:eastAsia="宋体" w:cs="宋体"/>
          <w:sz w:val="21"/>
          <w:szCs w:val="21"/>
        </w:rPr>
        <w:fldChar w:fldCharType="separate"/>
      </w:r>
      <w:r>
        <w:rPr>
          <w:rFonts w:hint="eastAsia" w:ascii="宋体" w:hAnsi="宋体" w:eastAsia="宋体" w:cs="宋体"/>
          <w:sz w:val="21"/>
          <w:szCs w:val="21"/>
        </w:rPr>
        <w:t>12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1CDB4AD">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"_Toc237075112"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6.1  意见来源和处理原则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_Toc237075112 \h </w:instrText>
      </w:r>
      <w:r>
        <w:rPr>
          <w:rFonts w:hint="eastAsia" w:ascii="宋体" w:hAnsi="宋体" w:eastAsia="宋体" w:cs="宋体"/>
          <w:sz w:val="21"/>
          <w:szCs w:val="21"/>
        </w:rPr>
        <w:fldChar w:fldCharType="separate"/>
      </w:r>
      <w:r>
        <w:rPr>
          <w:rFonts w:hint="eastAsia" w:ascii="宋体" w:hAnsi="宋体" w:eastAsia="宋体" w:cs="宋体"/>
          <w:sz w:val="21"/>
          <w:szCs w:val="21"/>
        </w:rPr>
        <w:t>12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B992FDB">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"_Toc237075113"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6.2  处理结果说明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_Toc237075113 \h </w:instrText>
      </w:r>
      <w:r>
        <w:rPr>
          <w:rFonts w:hint="eastAsia" w:ascii="宋体" w:hAnsi="宋体" w:eastAsia="宋体" w:cs="宋体"/>
          <w:sz w:val="21"/>
          <w:szCs w:val="21"/>
        </w:rPr>
        <w:fldChar w:fldCharType="separate"/>
      </w:r>
      <w:r>
        <w:rPr>
          <w:rFonts w:hint="eastAsia" w:ascii="宋体" w:hAnsi="宋体" w:eastAsia="宋体" w:cs="宋体"/>
          <w:sz w:val="21"/>
          <w:szCs w:val="21"/>
        </w:rPr>
        <w:t>13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ECDCAB0">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"_Toc237075114"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7  验证与实施</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_Toc237075114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7E58B84">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"_Toc237075115"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7.1  文件层面核查结果</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_Toc237075115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C262F08">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"_Toc237075116"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7.2  评价实施要求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_Toc237075116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FE704D8">
      <w:pPr>
        <w:pStyle w:val="27"/>
        <w:keepNext w:val="0"/>
        <w:keepLines w:val="0"/>
        <w:pageBreakBefore w:val="0"/>
        <w:widowControl/>
        <w:tabs>
          <w:tab w:val="right" w:leader="dot" w:pos="9062"/>
        </w:tabs>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"_Toc237075117"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8  知识产权、法规关系和实施要求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_Toc237075117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CB1C27C">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"_Toc237075118"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8.1  知识产权</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_Toc237075118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A7EFE2B">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"_Toc237075119"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8.2  法规和强制性要求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_Toc237075119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4E97968">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宋体" w:hAnsi="宋体" w:eastAsia="宋体" w:cs="宋体"/>
          <w:color w:val="auto"/>
          <w:kern w:val="2"/>
          <w:sz w:val="21"/>
          <w:szCs w:val="21"/>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"_Toc237075120"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8.3  重大分歧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_Toc237075120 \h </w:instrText>
      </w:r>
      <w:r>
        <w:rPr>
          <w:rFonts w:hint="eastAsia" w:ascii="宋体" w:hAnsi="宋体" w:eastAsia="宋体" w:cs="宋体"/>
          <w:sz w:val="21"/>
          <w:szCs w:val="21"/>
        </w:rPr>
        <w:fldChar w:fldCharType="separate"/>
      </w:r>
      <w:r>
        <w:rPr>
          <w:rFonts w:hint="eastAsia" w:ascii="宋体" w:hAnsi="宋体" w:eastAsia="宋体" w:cs="宋体"/>
          <w:sz w:val="21"/>
          <w:szCs w:val="21"/>
        </w:rPr>
        <w:t>15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BE3770D">
      <w:pPr>
        <w:pStyle w:val="30"/>
        <w:keepNext w:val="0"/>
        <w:keepLines w:val="0"/>
        <w:pageBreakBefore w:val="0"/>
        <w:widowControl/>
        <w:tabs>
          <w:tab w:val="right" w:leader="dot" w:pos="9062"/>
        </w:tabs>
        <w:kinsoku/>
        <w:wordWrap/>
        <w:overflowPunct/>
        <w:topLinePunct w:val="0"/>
        <w:autoSpaceDE/>
        <w:autoSpaceDN/>
        <w:bidi w:val="0"/>
        <w:adjustRightInd/>
        <w:snapToGrid/>
        <w:spacing w:line="240" w:lineRule="auto"/>
        <w:ind w:left="480" w:firstLine="420"/>
        <w:textAlignment w:val="auto"/>
        <w:rPr>
          <w:rFonts w:hint="eastAsia" w:asciiTheme="minorHAnsi" w:hAnsiTheme="minorHAnsi" w:eastAsiaTheme="minorEastAsia" w:cstheme="minorBidi"/>
          <w:color w:val="auto"/>
          <w:kern w:val="2"/>
          <w:sz w:val="22"/>
          <w:szCs w:val="24"/>
          <w:lang w:eastAsia="zh-CN"/>
          <w14:ligatures w14:val="standardContextual"/>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"_Toc237075121" </w:instrText>
      </w:r>
      <w:r>
        <w:rPr>
          <w:rFonts w:hint="eastAsia" w:ascii="宋体" w:hAnsi="宋体" w:eastAsia="宋体" w:cs="宋体"/>
          <w:sz w:val="21"/>
          <w:szCs w:val="21"/>
        </w:rPr>
        <w:fldChar w:fldCharType="separate"/>
      </w:r>
      <w:r>
        <w:rPr>
          <w:rStyle w:val="138"/>
          <w:rFonts w:hint="eastAsia" w:ascii="宋体" w:hAnsi="宋体" w:eastAsia="宋体" w:cs="宋体"/>
          <w:sz w:val="21"/>
          <w:szCs w:val="21"/>
          <w:lang w:eastAsia="zh-CN"/>
        </w:rPr>
        <w:t>8.4  实施安排</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_Toc237075121 \h </w:instrText>
      </w:r>
      <w:r>
        <w:rPr>
          <w:rFonts w:hint="eastAsia" w:ascii="宋体" w:hAnsi="宋体" w:eastAsia="宋体" w:cs="宋体"/>
          <w:sz w:val="21"/>
          <w:szCs w:val="21"/>
        </w:rPr>
        <w:fldChar w:fldCharType="separate"/>
      </w:r>
      <w:r>
        <w:rPr>
          <w:rFonts w:hint="eastAsia" w:ascii="宋体" w:hAnsi="宋体" w:eastAsia="宋体" w:cs="宋体"/>
          <w:sz w:val="21"/>
          <w:szCs w:val="21"/>
        </w:rPr>
        <w:t>15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D83CBA6">
      <w:pPr>
        <w:rPr>
          <w:rFonts w:hint="eastAsia"/>
        </w:rPr>
        <w:sectPr>
          <w:headerReference r:id="rId5" w:type="default"/>
          <w:footerReference r:id="rId6" w:type="default"/>
          <w:pgSz w:w="11906" w:h="16838"/>
          <w:pgMar w:top="1417" w:right="1417" w:bottom="1304" w:left="1417" w:header="680" w:footer="680" w:gutter="0"/>
          <w:pgNumType w:start="1"/>
          <w:cols w:space="720" w:num="1"/>
          <w:docGrid w:linePitch="360" w:charSpace="0"/>
        </w:sectPr>
      </w:pPr>
      <w:r>
        <w:rPr>
          <w:rFonts w:hint="eastAsia"/>
        </w:rPr>
        <w:fldChar w:fldCharType="end"/>
      </w:r>
    </w:p>
    <w:p w14:paraId="793E9225">
      <w:pPr>
        <w:pStyle w:val="3"/>
        <w:spacing w:before="200" w:after="80" w:line="360" w:lineRule="auto"/>
        <w:rPr>
          <w:rFonts w:hint="eastAsia" w:ascii="黑体" w:hAnsi="黑体" w:eastAsia="黑体" w:cs="黑体"/>
          <w:b w:val="0"/>
          <w:bCs w:val="0"/>
          <w:sz w:val="21"/>
          <w:szCs w:val="21"/>
          <w:lang w:eastAsia="zh-CN"/>
        </w:rPr>
      </w:pPr>
      <w:bookmarkStart w:id="0" w:name="_Toc237075088"/>
      <w:r>
        <w:rPr>
          <w:rFonts w:hint="eastAsia" w:ascii="黑体" w:hAnsi="黑体" w:eastAsia="黑体" w:cs="黑体"/>
          <w:b w:val="0"/>
          <w:bCs w:val="0"/>
          <w:sz w:val="21"/>
          <w:szCs w:val="21"/>
          <w:lang w:eastAsia="zh-CN"/>
        </w:rPr>
        <w:t>1  工作简况</w:t>
      </w:r>
      <w:bookmarkEnd w:id="0"/>
    </w:p>
    <w:p w14:paraId="707981DC">
      <w:pPr>
        <w:pStyle w:val="4"/>
        <w:spacing w:before="120" w:line="360" w:lineRule="auto"/>
        <w:rPr>
          <w:rFonts w:hint="eastAsia" w:ascii="黑体" w:hAnsi="黑体" w:eastAsia="黑体" w:cs="黑体"/>
          <w:b w:val="0"/>
          <w:bCs w:val="0"/>
          <w:sz w:val="21"/>
          <w:szCs w:val="21"/>
          <w:lang w:eastAsia="zh-CN"/>
        </w:rPr>
      </w:pPr>
      <w:bookmarkStart w:id="1" w:name="_Toc237075089"/>
      <w:r>
        <w:rPr>
          <w:rFonts w:hint="eastAsia" w:ascii="黑体" w:hAnsi="黑体" w:eastAsia="黑体" w:cs="黑体"/>
          <w:b w:val="0"/>
          <w:bCs w:val="0"/>
          <w:sz w:val="21"/>
          <w:szCs w:val="21"/>
          <w:lang w:eastAsia="zh-CN"/>
        </w:rPr>
        <w:t>1.1  编制任务与起草组织</w:t>
      </w:r>
      <w:bookmarkEnd w:id="1"/>
    </w:p>
    <w:p w14:paraId="0077CED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本标准由中国仿真学会提出并归口，组织全产业链单位开展起草工作。起草工作围绕智能网联汽车交通仿真测试软件的可信度评价展开，重点处理仿真试验可信度要求与软件专业能力评价的衔接，形成交通流仿真、感知系统仿真、通信系统仿真、交通场景仿真和软件通用性评价框架，为软件研发迭代、采购选型、第三方检验评价提供标准化依据。起草组覆盖学会科研机构、整车企业、仿真软件厂商、第三方检测机构和高校。</w:t>
      </w:r>
    </w:p>
    <w:p w14:paraId="0F46893D">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本标准所评价的软件既要具备环境建模、传感器仿真、通信模拟和交通行为生成等专业能力，也要能够按照GB/T 47025—2026附录A建立仿真试验工具链及相关模型的管理、分析、验证、确认和文件化证据。编制时将两类评价置于同一框架，分别规定评价内容和使用方式，并要求评价结论与软件版本、工具链配置、模型、数据条件及预定应用场景相对应，保证评价结果可追溯、可复现、可横向比对。</w:t>
      </w:r>
    </w:p>
    <w:p w14:paraId="200BA40F">
      <w:pPr>
        <w:pStyle w:val="4"/>
        <w:spacing w:before="120" w:line="360" w:lineRule="auto"/>
        <w:rPr>
          <w:rFonts w:hint="eastAsia" w:ascii="黑体" w:hAnsi="黑体" w:eastAsia="黑体" w:cs="黑体"/>
          <w:b w:val="0"/>
          <w:bCs w:val="0"/>
          <w:sz w:val="21"/>
          <w:szCs w:val="21"/>
          <w:lang w:eastAsia="zh-CN"/>
        </w:rPr>
      </w:pPr>
      <w:bookmarkStart w:id="2" w:name="_Toc237075090"/>
      <w:r>
        <w:rPr>
          <w:rFonts w:hint="eastAsia" w:ascii="黑体" w:hAnsi="黑体" w:eastAsia="黑体" w:cs="黑体"/>
          <w:b w:val="0"/>
          <w:bCs w:val="0"/>
          <w:sz w:val="21"/>
          <w:szCs w:val="21"/>
          <w:lang w:eastAsia="zh-CN"/>
        </w:rPr>
        <w:t>1.2  主要工作过程</w:t>
      </w:r>
      <w:bookmarkEnd w:id="2"/>
    </w:p>
    <w:p w14:paraId="45280F2E">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标准编制工作分为初步框架形成、内容整合、专业模块完善、征求意见与集中修改、送审稿完善五个阶段，见表1。该表按照时间、工作阶段、主要工作和阶段成果归纳标准编制过程。</w:t>
      </w:r>
    </w:p>
    <w:p w14:paraId="2CDB251D">
      <w:pPr>
        <w:keepNext/>
        <w:spacing w:line="240" w:lineRule="auto"/>
        <w:ind w:firstLine="0"/>
        <w:jc w:val="center"/>
        <w:rPr>
          <w:rFonts w:hint="eastAsia" w:ascii="黑体" w:hAnsi="黑体" w:eastAsia="黑体" w:cs="黑体"/>
          <w:b w:val="0"/>
          <w:bCs/>
          <w:sz w:val="21"/>
          <w:szCs w:val="21"/>
        </w:rPr>
      </w:pPr>
      <w:r>
        <w:rPr>
          <w:rFonts w:hint="eastAsia" w:ascii="黑体" w:hAnsi="黑体" w:eastAsia="黑体" w:cs="黑体"/>
          <w:b w:val="0"/>
          <w:bCs/>
          <w:sz w:val="21"/>
          <w:szCs w:val="21"/>
        </w:rPr>
        <w:t>表 1  主要工作过程</w:t>
      </w:r>
    </w:p>
    <w:tbl>
      <w:tblPr>
        <w:tblStyle w:val="36"/>
        <w:tblW w:w="87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31"/>
        <w:gridCol w:w="1719"/>
        <w:gridCol w:w="3435"/>
        <w:gridCol w:w="2245"/>
      </w:tblGrid>
      <w:tr w14:paraId="53796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331" w:type="dxa"/>
            <w:tcMar>
              <w:top w:w="70" w:type="dxa"/>
              <w:left w:w="90" w:type="dxa"/>
              <w:bottom w:w="70" w:type="dxa"/>
              <w:right w:w="90" w:type="dxa"/>
            </w:tcMar>
            <w:vAlign w:val="center"/>
          </w:tcPr>
          <w:p w14:paraId="6E2B955C">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时间</w:t>
            </w:r>
          </w:p>
        </w:tc>
        <w:tc>
          <w:tcPr>
            <w:tcW w:w="1719" w:type="dxa"/>
            <w:tcMar>
              <w:top w:w="70" w:type="dxa"/>
              <w:left w:w="90" w:type="dxa"/>
              <w:bottom w:w="70" w:type="dxa"/>
              <w:right w:w="90" w:type="dxa"/>
            </w:tcMar>
            <w:vAlign w:val="center"/>
          </w:tcPr>
          <w:p w14:paraId="190DE3BC">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工作阶段</w:t>
            </w:r>
          </w:p>
        </w:tc>
        <w:tc>
          <w:tcPr>
            <w:tcW w:w="3435" w:type="dxa"/>
            <w:tcMar>
              <w:top w:w="70" w:type="dxa"/>
              <w:left w:w="90" w:type="dxa"/>
              <w:bottom w:w="70" w:type="dxa"/>
              <w:right w:w="90" w:type="dxa"/>
            </w:tcMar>
            <w:vAlign w:val="center"/>
          </w:tcPr>
          <w:p w14:paraId="44E659C5">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主要工作</w:t>
            </w:r>
          </w:p>
        </w:tc>
        <w:tc>
          <w:tcPr>
            <w:tcW w:w="2245" w:type="dxa"/>
            <w:tcMar>
              <w:top w:w="70" w:type="dxa"/>
              <w:left w:w="90" w:type="dxa"/>
              <w:bottom w:w="70" w:type="dxa"/>
              <w:right w:w="90" w:type="dxa"/>
            </w:tcMar>
            <w:vAlign w:val="center"/>
          </w:tcPr>
          <w:p w14:paraId="540EB66D">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阶段成果</w:t>
            </w:r>
          </w:p>
        </w:tc>
      </w:tr>
      <w:tr w14:paraId="5755D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31" w:type="dxa"/>
            <w:tcMar>
              <w:top w:w="70" w:type="dxa"/>
              <w:left w:w="90" w:type="dxa"/>
              <w:bottom w:w="70" w:type="dxa"/>
              <w:right w:w="90" w:type="dxa"/>
            </w:tcMar>
          </w:tcPr>
          <w:p w14:paraId="7396259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2026年1月</w:t>
            </w:r>
          </w:p>
        </w:tc>
        <w:tc>
          <w:tcPr>
            <w:tcW w:w="1719" w:type="dxa"/>
            <w:tcMar>
              <w:top w:w="70" w:type="dxa"/>
              <w:left w:w="90" w:type="dxa"/>
              <w:bottom w:w="70" w:type="dxa"/>
              <w:right w:w="90" w:type="dxa"/>
            </w:tcMar>
          </w:tcPr>
          <w:p w14:paraId="622C771B">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初步框架形成</w:t>
            </w:r>
          </w:p>
        </w:tc>
        <w:tc>
          <w:tcPr>
            <w:tcW w:w="3435" w:type="dxa"/>
            <w:tcMar>
              <w:top w:w="70" w:type="dxa"/>
              <w:left w:w="90" w:type="dxa"/>
              <w:bottom w:w="70" w:type="dxa"/>
              <w:right w:w="90" w:type="dxa"/>
            </w:tcMar>
          </w:tcPr>
          <w:p w14:paraId="5EE226A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明确评价对象，提出环境、传感器、交通流、交通场景和软件接口等技术内容。</w:t>
            </w:r>
          </w:p>
        </w:tc>
        <w:tc>
          <w:tcPr>
            <w:tcW w:w="2245" w:type="dxa"/>
            <w:tcMar>
              <w:top w:w="70" w:type="dxa"/>
              <w:left w:w="90" w:type="dxa"/>
              <w:bottom w:w="70" w:type="dxa"/>
              <w:right w:w="90" w:type="dxa"/>
            </w:tcMar>
          </w:tcPr>
          <w:p w14:paraId="24F147A2">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形成标准初步技术框架。</w:t>
            </w:r>
          </w:p>
        </w:tc>
      </w:tr>
      <w:tr w14:paraId="48761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31" w:type="dxa"/>
            <w:tcMar>
              <w:top w:w="70" w:type="dxa"/>
              <w:left w:w="90" w:type="dxa"/>
              <w:bottom w:w="70" w:type="dxa"/>
              <w:right w:w="90" w:type="dxa"/>
            </w:tcMar>
          </w:tcPr>
          <w:p w14:paraId="12C49F11">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2026年</w:t>
            </w:r>
            <w:r>
              <w:rPr>
                <w:rFonts w:hint="eastAsia" w:ascii="宋体" w:hAnsi="宋体" w:eastAsia="宋体" w:cs="宋体"/>
                <w:sz w:val="18"/>
                <w:szCs w:val="18"/>
                <w:lang w:eastAsia="zh-CN"/>
              </w:rPr>
              <w:t>2</w:t>
            </w:r>
            <w:r>
              <w:rPr>
                <w:rFonts w:hint="eastAsia" w:ascii="宋体" w:hAnsi="宋体" w:eastAsia="宋体" w:cs="宋体"/>
                <w:sz w:val="18"/>
                <w:szCs w:val="18"/>
              </w:rPr>
              <w:t>月至</w:t>
            </w:r>
            <w:r>
              <w:rPr>
                <w:rFonts w:hint="eastAsia" w:ascii="宋体" w:hAnsi="宋体" w:eastAsia="宋体" w:cs="宋体"/>
                <w:sz w:val="18"/>
                <w:szCs w:val="18"/>
                <w:lang w:eastAsia="zh-CN"/>
              </w:rPr>
              <w:t>3</w:t>
            </w:r>
            <w:r>
              <w:rPr>
                <w:rFonts w:hint="eastAsia" w:ascii="宋体" w:hAnsi="宋体" w:eastAsia="宋体" w:cs="宋体"/>
                <w:sz w:val="18"/>
                <w:szCs w:val="18"/>
              </w:rPr>
              <w:t>月</w:t>
            </w:r>
          </w:p>
        </w:tc>
        <w:tc>
          <w:tcPr>
            <w:tcW w:w="1719" w:type="dxa"/>
            <w:tcMar>
              <w:top w:w="70" w:type="dxa"/>
              <w:left w:w="90" w:type="dxa"/>
              <w:bottom w:w="70" w:type="dxa"/>
              <w:right w:w="90" w:type="dxa"/>
            </w:tcMar>
          </w:tcPr>
          <w:p w14:paraId="1C170DBE">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内容整合</w:t>
            </w:r>
          </w:p>
        </w:tc>
        <w:tc>
          <w:tcPr>
            <w:tcW w:w="3435" w:type="dxa"/>
            <w:tcMar>
              <w:top w:w="70" w:type="dxa"/>
              <w:left w:w="90" w:type="dxa"/>
              <w:bottom w:w="70" w:type="dxa"/>
              <w:right w:w="90" w:type="dxa"/>
            </w:tcMar>
          </w:tcPr>
          <w:p w14:paraId="3B76FF3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整合章节结构，建立交通仿真模型、场景、性能、接口及附录的内容关系。</w:t>
            </w:r>
          </w:p>
        </w:tc>
        <w:tc>
          <w:tcPr>
            <w:tcW w:w="2245" w:type="dxa"/>
            <w:tcMar>
              <w:top w:w="70" w:type="dxa"/>
              <w:left w:w="90" w:type="dxa"/>
              <w:bottom w:w="70" w:type="dxa"/>
              <w:right w:w="90" w:type="dxa"/>
            </w:tcMar>
          </w:tcPr>
          <w:p w14:paraId="5F2924D0">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形成标准章节框架。</w:t>
            </w:r>
          </w:p>
        </w:tc>
      </w:tr>
      <w:tr w14:paraId="1A110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31" w:type="dxa"/>
            <w:tcMar>
              <w:top w:w="70" w:type="dxa"/>
              <w:left w:w="90" w:type="dxa"/>
              <w:bottom w:w="70" w:type="dxa"/>
              <w:right w:w="90" w:type="dxa"/>
            </w:tcMar>
          </w:tcPr>
          <w:p w14:paraId="768B2CA5">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2026年</w:t>
            </w:r>
            <w:r>
              <w:rPr>
                <w:rFonts w:hint="eastAsia" w:ascii="宋体" w:hAnsi="宋体" w:eastAsia="宋体" w:cs="宋体"/>
                <w:sz w:val="18"/>
                <w:szCs w:val="18"/>
                <w:lang w:eastAsia="zh-CN"/>
              </w:rPr>
              <w:t>4</w:t>
            </w:r>
            <w:r>
              <w:rPr>
                <w:rFonts w:hint="eastAsia" w:ascii="宋体" w:hAnsi="宋体" w:eastAsia="宋体" w:cs="宋体"/>
                <w:sz w:val="18"/>
                <w:szCs w:val="18"/>
              </w:rPr>
              <w:t>月至5月</w:t>
            </w:r>
          </w:p>
        </w:tc>
        <w:tc>
          <w:tcPr>
            <w:tcW w:w="1719" w:type="dxa"/>
            <w:tcMar>
              <w:top w:w="70" w:type="dxa"/>
              <w:left w:w="90" w:type="dxa"/>
              <w:bottom w:w="70" w:type="dxa"/>
              <w:right w:w="90" w:type="dxa"/>
            </w:tcMar>
          </w:tcPr>
          <w:p w14:paraId="543CBBC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专业模块完善</w:t>
            </w:r>
          </w:p>
        </w:tc>
        <w:tc>
          <w:tcPr>
            <w:tcW w:w="3435" w:type="dxa"/>
            <w:tcMar>
              <w:top w:w="70" w:type="dxa"/>
              <w:left w:w="90" w:type="dxa"/>
              <w:bottom w:w="70" w:type="dxa"/>
              <w:right w:w="90" w:type="dxa"/>
            </w:tcMar>
          </w:tcPr>
          <w:p w14:paraId="38FC119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建立交通流、感知和通信、交通场景、软件鲁棒性及通用性等能力要求，补充评价方法和等级判定。</w:t>
            </w:r>
          </w:p>
        </w:tc>
        <w:tc>
          <w:tcPr>
            <w:tcW w:w="2245" w:type="dxa"/>
            <w:tcMar>
              <w:top w:w="70" w:type="dxa"/>
              <w:left w:w="90" w:type="dxa"/>
              <w:bottom w:w="70" w:type="dxa"/>
              <w:right w:w="90" w:type="dxa"/>
            </w:tcMar>
          </w:tcPr>
          <w:p w14:paraId="393AA67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形成主要技术内容和评价模块。</w:t>
            </w:r>
          </w:p>
        </w:tc>
      </w:tr>
      <w:tr w14:paraId="291C3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31" w:type="dxa"/>
            <w:tcMar>
              <w:top w:w="70" w:type="dxa"/>
              <w:left w:w="90" w:type="dxa"/>
              <w:bottom w:w="70" w:type="dxa"/>
              <w:right w:w="90" w:type="dxa"/>
            </w:tcMar>
          </w:tcPr>
          <w:p w14:paraId="1A059EFD">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2026年6月至7月</w:t>
            </w:r>
          </w:p>
        </w:tc>
        <w:tc>
          <w:tcPr>
            <w:tcW w:w="1719" w:type="dxa"/>
            <w:tcMar>
              <w:top w:w="70" w:type="dxa"/>
              <w:left w:w="90" w:type="dxa"/>
              <w:bottom w:w="70" w:type="dxa"/>
              <w:right w:w="90" w:type="dxa"/>
            </w:tcMar>
          </w:tcPr>
          <w:p w14:paraId="64B109FA">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征求意见与集中修改</w:t>
            </w:r>
          </w:p>
        </w:tc>
        <w:tc>
          <w:tcPr>
            <w:tcW w:w="3435" w:type="dxa"/>
            <w:tcMar>
              <w:top w:w="70" w:type="dxa"/>
              <w:left w:w="90" w:type="dxa"/>
              <w:bottom w:w="70" w:type="dxa"/>
              <w:right w:w="90" w:type="dxa"/>
            </w:tcMar>
          </w:tcPr>
          <w:p w14:paraId="76D8B34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吸收专家意见，完善术语、总体框架、评价指标、国标衔接和附录内容。</w:t>
            </w:r>
          </w:p>
        </w:tc>
        <w:tc>
          <w:tcPr>
            <w:tcW w:w="2245" w:type="dxa"/>
            <w:tcMar>
              <w:top w:w="70" w:type="dxa"/>
              <w:left w:w="90" w:type="dxa"/>
              <w:bottom w:w="70" w:type="dxa"/>
              <w:right w:w="90" w:type="dxa"/>
            </w:tcMar>
          </w:tcPr>
          <w:p w14:paraId="7261B2FB">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形成集中修改稿。</w:t>
            </w:r>
          </w:p>
        </w:tc>
      </w:tr>
      <w:tr w14:paraId="759A8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31" w:type="dxa"/>
            <w:tcMar>
              <w:top w:w="70" w:type="dxa"/>
              <w:left w:w="90" w:type="dxa"/>
              <w:bottom w:w="70" w:type="dxa"/>
              <w:right w:w="90" w:type="dxa"/>
            </w:tcMar>
          </w:tcPr>
          <w:p w14:paraId="3A61CFF1">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2026年8月</w:t>
            </w:r>
          </w:p>
        </w:tc>
        <w:tc>
          <w:tcPr>
            <w:tcW w:w="1719" w:type="dxa"/>
            <w:tcMar>
              <w:top w:w="70" w:type="dxa"/>
              <w:left w:w="90" w:type="dxa"/>
              <w:bottom w:w="70" w:type="dxa"/>
              <w:right w:w="90" w:type="dxa"/>
            </w:tcMar>
          </w:tcPr>
          <w:p w14:paraId="5573152F">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送审稿完善</w:t>
            </w:r>
          </w:p>
        </w:tc>
        <w:tc>
          <w:tcPr>
            <w:tcW w:w="3435" w:type="dxa"/>
            <w:tcMar>
              <w:top w:w="70" w:type="dxa"/>
              <w:left w:w="90" w:type="dxa"/>
              <w:bottom w:w="70" w:type="dxa"/>
              <w:right w:w="90" w:type="dxa"/>
            </w:tcMar>
          </w:tcPr>
          <w:p w14:paraId="3B00949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统稿复核编制说明、国内外相关文件、引用文件、表格和全文版式。</w:t>
            </w:r>
          </w:p>
        </w:tc>
        <w:tc>
          <w:tcPr>
            <w:tcW w:w="2245" w:type="dxa"/>
            <w:tcMar>
              <w:top w:w="70" w:type="dxa"/>
              <w:left w:w="90" w:type="dxa"/>
              <w:bottom w:w="70" w:type="dxa"/>
              <w:right w:w="90" w:type="dxa"/>
            </w:tcMar>
          </w:tcPr>
          <w:p w14:paraId="20519A56">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形成送审版标准文本及编制说明。</w:t>
            </w:r>
          </w:p>
        </w:tc>
      </w:tr>
    </w:tbl>
    <w:p w14:paraId="3707AD10">
      <w:pPr>
        <w:pStyle w:val="4"/>
        <w:spacing w:before="120" w:line="360" w:lineRule="auto"/>
        <w:rPr>
          <w:rFonts w:hint="eastAsia" w:ascii="黑体" w:hAnsi="黑体" w:eastAsia="黑体" w:cs="黑体"/>
          <w:b w:val="0"/>
          <w:bCs w:val="0"/>
          <w:sz w:val="21"/>
          <w:szCs w:val="21"/>
          <w:lang w:eastAsia="zh-CN"/>
        </w:rPr>
      </w:pPr>
      <w:bookmarkStart w:id="3" w:name="_Toc237075091"/>
      <w:r>
        <w:rPr>
          <w:rFonts w:hint="eastAsia" w:ascii="黑体" w:hAnsi="黑体" w:eastAsia="黑体" w:cs="黑体"/>
          <w:b w:val="0"/>
          <w:bCs w:val="0"/>
          <w:sz w:val="21"/>
          <w:szCs w:val="21"/>
          <w:lang w:eastAsia="zh-CN"/>
        </w:rPr>
        <w:t>1.3  征求意见及处理</w:t>
      </w:r>
      <w:bookmarkEnd w:id="3"/>
    </w:p>
    <w:p w14:paraId="3C87004D">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次采用定向专家函询方式开展征求意见工作，征求意见周期2026年6月20日—7月5日，定向发放至整车、高校、检测机构共12家单位，回收有效反馈材料3份，分别为苏州科技大学马健教授独立意见表、小米汽车科技有限公司意见反馈表、行业综合意见汇总表。意见覆盖适用范围边界、规范性引用文件、量化指标阈值、五级评分规则、等级判定约束、资料性附录、评估报告规范七大维度。起草组组织专项评审会逐条研判，完成条文增补、指标表述优化、附录扩充、格式统一调整；新增标准第6.4 条可信度证据核查细则、完善6.5 条综合等级判定边界约束。全部意见分类处置记录详见第6章。</w:t>
      </w:r>
    </w:p>
    <w:p w14:paraId="22235A5F">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经过上述工作，标准文本形成了范围、术语、总体框架、专业能力指标、评估实施、等级判定和资料性附录A等主要内容，构成送审阶段的总体技术框架。</w:t>
      </w:r>
    </w:p>
    <w:p w14:paraId="414EC488">
      <w:pPr>
        <w:pStyle w:val="3"/>
        <w:spacing w:before="200" w:after="80" w:line="360" w:lineRule="auto"/>
        <w:rPr>
          <w:rFonts w:hint="eastAsia" w:ascii="黑体" w:hAnsi="黑体" w:eastAsia="黑体" w:cs="黑体"/>
          <w:b w:val="0"/>
          <w:bCs w:val="0"/>
          <w:sz w:val="21"/>
          <w:szCs w:val="21"/>
        </w:rPr>
      </w:pPr>
      <w:bookmarkStart w:id="4" w:name="_Toc237075092"/>
      <w:r>
        <w:rPr>
          <w:rFonts w:hint="eastAsia" w:ascii="黑体" w:hAnsi="黑体" w:eastAsia="黑体" w:cs="黑体"/>
          <w:b w:val="0"/>
          <w:bCs w:val="0"/>
          <w:sz w:val="21"/>
          <w:szCs w:val="21"/>
        </w:rPr>
        <w:t>2  制定背景与必要性</w:t>
      </w:r>
      <w:bookmarkEnd w:id="4"/>
    </w:p>
    <w:p w14:paraId="05D65CF7">
      <w:pPr>
        <w:pStyle w:val="4"/>
        <w:spacing w:before="120" w:line="360" w:lineRule="auto"/>
        <w:rPr>
          <w:rFonts w:hint="eastAsia" w:ascii="黑体" w:hAnsi="黑体" w:eastAsia="黑体" w:cs="黑体"/>
          <w:b w:val="0"/>
          <w:bCs w:val="0"/>
          <w:sz w:val="21"/>
          <w:szCs w:val="21"/>
        </w:rPr>
      </w:pPr>
      <w:bookmarkStart w:id="5" w:name="_Toc237075093"/>
      <w:r>
        <w:rPr>
          <w:rFonts w:hint="eastAsia" w:ascii="黑体" w:hAnsi="黑体" w:eastAsia="黑体" w:cs="黑体"/>
          <w:b w:val="0"/>
          <w:bCs w:val="0"/>
          <w:sz w:val="21"/>
          <w:szCs w:val="21"/>
        </w:rPr>
        <w:t>2.1  制定背景</w:t>
      </w:r>
      <w:bookmarkEnd w:id="5"/>
    </w:p>
    <w:p w14:paraId="0BB9351E">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智能汽车创新发展战略》和《国家车联网产业标准体系建设指南（智能网联汽车）（2023版）》提出建立健全智能网联汽车测试评价标准体系。随着自动驾驶功能技术的发展和应用场景范围不断扩大，基于场景的仿真试验凭借场景可复现、测试效率高和安全性高等特点，已成为自动驾驶汽车研发、测试验证、技术迭代升级的主要路径，特别是用于极端危险场景和边缘场景的测试验证。</w:t>
      </w:r>
    </w:p>
    <w:p w14:paraId="5B377B04">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交通流、交通参与者行为、传感器、通信和环境等模型共同构成仿真测试工具链。仿真结果的可信程度不仅取决于单一模型的精度，还受到工具链配置、模型适用范围、场景参数、数据质量、接口和运行条件等因素影响。起草组前期行业调研覆盖12家整车企业、8家仿真软件供应商，调研结果显示：超 85% 市场主体存在评价口径不统一问题，不同厂商仿真软件无通用可信度评价指标、试验条件不标准化、评价记录无强制追溯要求，跨软件仿真结果无法横向对比，虚实联合验证缺少统一判定依据，第三方机构无标准化分级评价规范，行业亟需专项团体标准统一评价规则。G</w:t>
      </w:r>
      <w:r>
        <w:rPr>
          <w:rFonts w:hint="default" w:ascii="Times New Roman" w:hAnsi="Times New Roman" w:eastAsia="宋体" w:cs="Times New Roman"/>
          <w:sz w:val="21"/>
          <w:szCs w:val="21"/>
          <w:lang w:eastAsia="zh-CN"/>
        </w:rPr>
        <w:t>B/T 47025—2026</w:t>
      </w:r>
      <w:r>
        <w:rPr>
          <w:rFonts w:hint="eastAsia" w:ascii="宋体" w:hAnsi="宋体" w:eastAsia="宋体" w:cs="宋体"/>
          <w:sz w:val="21"/>
          <w:szCs w:val="21"/>
          <w:lang w:eastAsia="zh-CN"/>
        </w:rPr>
        <w:t>仅规定仿真试验通用可信度管理、验证、追溯要求，未针对交通仿真软件设置专项量化指标与分级体系，存在标准空白。</w:t>
      </w:r>
    </w:p>
    <w:p w14:paraId="7A772E5A">
      <w:pPr>
        <w:pStyle w:val="4"/>
        <w:spacing w:before="120" w:line="360" w:lineRule="auto"/>
        <w:rPr>
          <w:rFonts w:hint="eastAsia" w:ascii="黑体" w:hAnsi="黑体" w:eastAsia="黑体" w:cs="黑体"/>
          <w:b w:val="0"/>
          <w:bCs w:val="0"/>
          <w:sz w:val="21"/>
          <w:szCs w:val="21"/>
          <w:lang w:eastAsia="zh-CN"/>
        </w:rPr>
      </w:pPr>
      <w:bookmarkStart w:id="6" w:name="_Toc237075094"/>
      <w:r>
        <w:rPr>
          <w:rFonts w:hint="eastAsia" w:ascii="黑体" w:hAnsi="黑体" w:eastAsia="黑体" w:cs="黑体"/>
          <w:b w:val="0"/>
          <w:bCs w:val="0"/>
          <w:sz w:val="21"/>
          <w:szCs w:val="21"/>
          <w:lang w:eastAsia="zh-CN"/>
        </w:rPr>
        <w:t>2.2  制定必要性</w:t>
      </w:r>
      <w:bookmarkEnd w:id="6"/>
    </w:p>
    <w:p w14:paraId="493A3419">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监管合规层面，衔接</w:t>
      </w: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附录 A 法定仿真可信度证据要求，将通用追溯、验证、确认条款转化为交通仿真软件可落地核查清单，补齐专项评价规则，满足自动驾驶仿真测试合规核查需求。</w:t>
      </w:r>
    </w:p>
    <w:p w14:paraId="281DCF95">
      <w:pPr>
        <w:spacing w:line="360" w:lineRule="auto"/>
        <w:ind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产业研发层面，统一交通仿真五大核心模块评价指标、试验方法、评分口径，降低整车企业仿真工具招标、软件标定、场景迭代的研发成本；为仿真软件厂商提供版本迭代自评估依据，支撑国产仿真软件性能对标优化。</w:t>
      </w:r>
    </w:p>
    <w:p w14:paraId="60AA5EB1">
      <w:pPr>
        <w:spacing w:line="360" w:lineRule="auto"/>
        <w:ind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第三方检测服务层面，建立可复现、可核查、可追溯的五级分级评价体系，为第三方检测机构提供标准化业务规范，形成具备行业公信力的仿真软件可信度评估服务能力。</w:t>
      </w:r>
    </w:p>
    <w:p w14:paraId="1AB1573B">
      <w:pPr>
        <w:pStyle w:val="4"/>
        <w:spacing w:before="120" w:line="360" w:lineRule="auto"/>
        <w:rPr>
          <w:rFonts w:hint="eastAsia" w:ascii="黑体" w:hAnsi="黑体" w:eastAsia="黑体" w:cs="黑体"/>
          <w:b w:val="0"/>
          <w:bCs w:val="0"/>
          <w:sz w:val="21"/>
          <w:szCs w:val="21"/>
          <w:lang w:eastAsia="zh-CN"/>
        </w:rPr>
      </w:pPr>
      <w:bookmarkStart w:id="7" w:name="_Toc237075095"/>
      <w:r>
        <w:rPr>
          <w:rFonts w:hint="eastAsia" w:ascii="黑体" w:hAnsi="黑体" w:eastAsia="黑体" w:cs="黑体"/>
          <w:b w:val="0"/>
          <w:bCs w:val="0"/>
          <w:sz w:val="21"/>
          <w:szCs w:val="21"/>
          <w:lang w:eastAsia="zh-CN"/>
        </w:rPr>
        <w:t>2.3  制定目标</w:t>
      </w:r>
      <w:bookmarkEnd w:id="7"/>
    </w:p>
    <w:p w14:paraId="7A798C56">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本标准的制定目标包括四项：</w:t>
      </w:r>
    </w:p>
    <w:p w14:paraId="4DA3C099">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一是明确交通仿真测试软件的评价边界和使用对象；</w:t>
      </w:r>
    </w:p>
    <w:p w14:paraId="0B24D7CC">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二是建立仿真试验可信度评估与专业能力评估相衔接的总体框架；</w:t>
      </w:r>
    </w:p>
    <w:p w14:paraId="7E0BC9CB">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三是以五类专业能力模块组织指标，并给出数据对比、专家评审、仿真—实车联合验证等实施方法；</w:t>
      </w:r>
    </w:p>
    <w:p w14:paraId="206C2C95">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四是在国标可信度证据具备的前提下，形成可追溯的模块评分和等级表达。评价等级与特定的软件版本、工具链配置、模型、数据条件和预定应用场景保持对应。</w:t>
      </w:r>
    </w:p>
    <w:p w14:paraId="70F701CE">
      <w:pPr>
        <w:pStyle w:val="3"/>
        <w:spacing w:before="200" w:after="80" w:line="360" w:lineRule="auto"/>
        <w:rPr>
          <w:rFonts w:hint="eastAsia" w:ascii="黑体" w:hAnsi="黑体" w:eastAsia="黑体" w:cs="黑体"/>
          <w:b w:val="0"/>
          <w:bCs w:val="0"/>
          <w:sz w:val="21"/>
          <w:szCs w:val="21"/>
          <w:lang w:eastAsia="zh-CN"/>
        </w:rPr>
      </w:pPr>
      <w:bookmarkStart w:id="8" w:name="_Toc237075096"/>
      <w:r>
        <w:rPr>
          <w:rFonts w:hint="eastAsia" w:ascii="黑体" w:hAnsi="黑体" w:eastAsia="黑体" w:cs="黑体"/>
          <w:b w:val="0"/>
          <w:bCs w:val="0"/>
          <w:sz w:val="21"/>
          <w:szCs w:val="21"/>
          <w:lang w:eastAsia="zh-CN"/>
        </w:rPr>
        <w:t>3  编制原则、适用范围和使用对象</w:t>
      </w:r>
      <w:bookmarkEnd w:id="8"/>
    </w:p>
    <w:p w14:paraId="4F0D2615">
      <w:pPr>
        <w:pStyle w:val="4"/>
        <w:spacing w:before="120" w:line="360" w:lineRule="auto"/>
        <w:rPr>
          <w:rFonts w:hint="eastAsia" w:ascii="黑体" w:hAnsi="黑体" w:eastAsia="黑体" w:cs="黑体"/>
          <w:b w:val="0"/>
          <w:bCs w:val="0"/>
          <w:sz w:val="21"/>
          <w:szCs w:val="21"/>
          <w:lang w:eastAsia="zh-CN"/>
        </w:rPr>
      </w:pPr>
      <w:bookmarkStart w:id="9" w:name="_Toc237075097"/>
      <w:r>
        <w:rPr>
          <w:rFonts w:hint="eastAsia" w:ascii="黑体" w:hAnsi="黑体" w:eastAsia="黑体" w:cs="黑体"/>
          <w:b w:val="0"/>
          <w:bCs w:val="0"/>
          <w:sz w:val="21"/>
          <w:szCs w:val="21"/>
          <w:lang w:eastAsia="zh-CN"/>
        </w:rPr>
        <w:t>3.1  编制原则</w:t>
      </w:r>
      <w:bookmarkEnd w:id="9"/>
    </w:p>
    <w:p w14:paraId="467AE359">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本标准的编写采用下列原则：</w:t>
      </w:r>
    </w:p>
    <w:p w14:paraId="7370A080">
      <w:pPr>
        <w:spacing w:line="360" w:lineRule="auto"/>
        <w:ind w:left="1110" w:leftChars="375"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a）协调性。专业能力评价与GB/T 47025—2026附录A规定的可信度证据核查相互衔接，分别承担专业能力评价和仿真试验可信度核查功能。</w:t>
      </w:r>
    </w:p>
    <w:p w14:paraId="42CA402B">
      <w:pPr>
        <w:spacing w:line="360" w:lineRule="auto"/>
        <w:ind w:left="1048" w:leftChars="349"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b）可追溯性。评估对象、软件版本、工具链配置、模型、数据、场景和证据保持对应，评价结论与适用边界相一致。</w:t>
      </w:r>
    </w:p>
    <w:p w14:paraId="19C83161">
      <w:pPr>
        <w:spacing w:line="360" w:lineRule="auto"/>
        <w:ind w:left="1048" w:leftChars="349"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c）可验证性。涉及精度和真实世界一致性的指标，优先采用数据对比或仿真—实车联合验证；专家评审用于补充评价证据充分性、适用边界和工程合理性。</w:t>
      </w:r>
    </w:p>
    <w:p w14:paraId="4DB9DD49">
      <w:pPr>
        <w:spacing w:line="360" w:lineRule="auto"/>
        <w:ind w:left="1048" w:leftChars="349"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d）适用性。指标围绕交通仿真测试软件的主要能力设置，并兼顾SIL、HIL、VIL和虚实结合等测试方式。</w:t>
      </w:r>
    </w:p>
    <w:p w14:paraId="6E6B07AB">
      <w:pPr>
        <w:spacing w:line="360" w:lineRule="auto"/>
        <w:ind w:left="1048" w:leftChars="349"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e）审慎性。阈值、权重和规则应说明调研、试验或计算依据，并明确适用条件和验证安排。</w:t>
      </w:r>
    </w:p>
    <w:p w14:paraId="1B121645">
      <w:pPr>
        <w:pStyle w:val="4"/>
        <w:spacing w:before="120" w:line="360" w:lineRule="auto"/>
        <w:rPr>
          <w:rFonts w:hint="eastAsia" w:ascii="黑体" w:hAnsi="黑体" w:eastAsia="黑体" w:cs="黑体"/>
          <w:b w:val="0"/>
          <w:bCs w:val="0"/>
          <w:sz w:val="21"/>
          <w:szCs w:val="21"/>
          <w:lang w:eastAsia="zh-CN"/>
        </w:rPr>
      </w:pPr>
      <w:bookmarkStart w:id="10" w:name="_Toc237075098"/>
      <w:r>
        <w:rPr>
          <w:rFonts w:hint="eastAsia" w:ascii="黑体" w:hAnsi="黑体" w:eastAsia="黑体" w:cs="黑体"/>
          <w:b w:val="0"/>
          <w:bCs w:val="0"/>
          <w:sz w:val="21"/>
          <w:szCs w:val="21"/>
          <w:lang w:eastAsia="zh-CN"/>
        </w:rPr>
        <w:t>3.2  适用范围与边界</w:t>
      </w:r>
      <w:bookmarkEnd w:id="10"/>
    </w:p>
    <w:p w14:paraId="1FED2551">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标准适用于面向智能网联汽车研发、测试、验证和评价的交通仿真测试软件，重点评价微观交通流仿真，并允许结合输出分析宏观交通运行指标。评价内容包括交通流、感知系统、通信系统、交通场景、软件通用性以及数据安全与隐私保护支撑能力。</w:t>
      </w:r>
    </w:p>
    <w:p w14:paraId="67BD5C81">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本标准的评价对象限于包含交通场景、交通参与者行为和交通流过程的交通仿真测试软件。仅开展车辆动力学模型精度评价的单一部件级软件，以及</w:t>
      </w:r>
      <w:r>
        <w:rPr>
          <w:rFonts w:hint="default" w:ascii="Times New Roman" w:hAnsi="Times New Roman" w:eastAsia="宋体" w:cs="Times New Roman"/>
          <w:sz w:val="21"/>
          <w:szCs w:val="21"/>
          <w:lang w:eastAsia="zh-CN"/>
        </w:rPr>
        <w:t>DMS</w:t>
      </w:r>
      <w:r>
        <w:rPr>
          <w:rFonts w:hint="eastAsia" w:ascii="宋体" w:hAnsi="宋体" w:eastAsia="宋体" w:cs="宋体"/>
          <w:sz w:val="21"/>
          <w:szCs w:val="21"/>
          <w:lang w:eastAsia="zh-CN"/>
        </w:rPr>
        <w:t>、乘员表情、眼球或面部朝向、疲劳和分心等乘员舱专项能力，不纳入本标准评价范围。</w:t>
      </w:r>
    </w:p>
    <w:p w14:paraId="6692B706">
      <w:pPr>
        <w:spacing w:line="360" w:lineRule="auto"/>
        <w:ind w:firstLine="480"/>
        <w:jc w:val="both"/>
        <w:rPr>
          <w:rFonts w:hint="eastAsia" w:ascii="宋体" w:hAnsi="宋体" w:eastAsia="宋体" w:cs="宋体"/>
          <w:sz w:val="21"/>
          <w:szCs w:val="21"/>
          <w:lang w:eastAsia="zh-CN"/>
        </w:rPr>
      </w:pPr>
      <w:r>
        <w:rPr>
          <w:rFonts w:hint="default" w:ascii="Times New Roman" w:hAnsi="Times New Roman" w:eastAsia="宋体" w:cs="Times New Roman"/>
          <w:sz w:val="21"/>
          <w:szCs w:val="21"/>
          <w:lang w:eastAsia="zh-CN"/>
        </w:rPr>
        <w:t>SIL、HIL、VIL</w:t>
      </w:r>
      <w:r>
        <w:rPr>
          <w:rFonts w:hint="eastAsia" w:ascii="宋体" w:hAnsi="宋体" w:eastAsia="宋体" w:cs="宋体"/>
          <w:sz w:val="21"/>
          <w:szCs w:val="21"/>
          <w:lang w:eastAsia="zh-CN"/>
        </w:rPr>
        <w:t>和虚实结合等测试方式（第4章列出），用于说明软件通用性和闭环测试能力。不同测试方式的模块组合和权重应结合评价目的与应用场景确定，并在实施过程中形成相应配置说明。</w:t>
      </w:r>
    </w:p>
    <w:p w14:paraId="25844C2E">
      <w:pPr>
        <w:pStyle w:val="4"/>
        <w:spacing w:before="120" w:line="360" w:lineRule="auto"/>
        <w:rPr>
          <w:rFonts w:hint="eastAsia" w:ascii="黑体" w:hAnsi="黑体" w:eastAsia="黑体" w:cs="黑体"/>
          <w:b w:val="0"/>
          <w:bCs w:val="0"/>
          <w:sz w:val="21"/>
          <w:szCs w:val="21"/>
          <w:lang w:eastAsia="zh-CN"/>
        </w:rPr>
      </w:pPr>
      <w:bookmarkStart w:id="11" w:name="_Toc237075099"/>
      <w:r>
        <w:rPr>
          <w:rFonts w:hint="eastAsia" w:ascii="黑体" w:hAnsi="黑体" w:eastAsia="黑体" w:cs="黑体"/>
          <w:b w:val="0"/>
          <w:bCs w:val="0"/>
          <w:sz w:val="21"/>
          <w:szCs w:val="21"/>
          <w:lang w:eastAsia="zh-CN"/>
        </w:rPr>
        <w:t>3.3  使用对象</w:t>
      </w:r>
      <w:bookmarkEnd w:id="11"/>
    </w:p>
    <w:p w14:paraId="5F6B42DF">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标准主要面向四类使用者：仿真测试软件开发方，可用于自评估和版本改进；整车及自动驾驶系统企业，可用于工具选型和适用性核查；第三方检验检测与评估机构，可用于独立评价；测试服务和工具链使用方，可用于核对能力范围、数据条件和证据完整性。不同使用者可以采用相同框架，但应在评估报告中说明目的、对象、范围和所用方法。</w:t>
      </w:r>
    </w:p>
    <w:p w14:paraId="1F2FD9FD">
      <w:pPr>
        <w:pStyle w:val="3"/>
        <w:spacing w:before="200" w:after="80" w:line="360" w:lineRule="auto"/>
        <w:rPr>
          <w:rFonts w:hint="eastAsia" w:ascii="黑体" w:hAnsi="黑体" w:eastAsia="黑体" w:cs="黑体"/>
          <w:b w:val="0"/>
          <w:bCs w:val="0"/>
          <w:sz w:val="21"/>
          <w:szCs w:val="21"/>
          <w:lang w:eastAsia="zh-CN"/>
        </w:rPr>
      </w:pPr>
      <w:bookmarkStart w:id="12" w:name="_Toc237075100"/>
      <w:r>
        <w:rPr>
          <w:rFonts w:hint="eastAsia" w:ascii="黑体" w:hAnsi="黑体" w:eastAsia="黑体" w:cs="黑体"/>
          <w:b w:val="0"/>
          <w:bCs w:val="0"/>
          <w:sz w:val="21"/>
          <w:szCs w:val="21"/>
          <w:lang w:eastAsia="zh-CN"/>
        </w:rPr>
        <w:t>4  主要技术内容及编写考虑</w:t>
      </w:r>
      <w:bookmarkEnd w:id="12"/>
    </w:p>
    <w:p w14:paraId="3A37194C">
      <w:pPr>
        <w:spacing w:line="360" w:lineRule="auto"/>
        <w:jc w:val="both"/>
        <w:rPr>
          <w:rFonts w:hint="eastAsia" w:ascii="宋体" w:hAnsi="宋体" w:eastAsia="宋体" w:cs="宋体"/>
          <w:sz w:val="21"/>
          <w:szCs w:val="21"/>
          <w:lang w:eastAsia="zh-CN"/>
        </w:rPr>
      </w:pPr>
    </w:p>
    <w:p w14:paraId="34410922">
      <w:pPr>
        <w:pStyle w:val="4"/>
        <w:spacing w:before="120" w:line="360" w:lineRule="auto"/>
        <w:rPr>
          <w:rFonts w:hint="eastAsia" w:ascii="黑体" w:hAnsi="黑体" w:eastAsia="黑体" w:cs="黑体"/>
          <w:b w:val="0"/>
          <w:bCs w:val="0"/>
          <w:sz w:val="21"/>
          <w:szCs w:val="21"/>
          <w:lang w:eastAsia="zh-CN"/>
        </w:rPr>
      </w:pPr>
      <w:bookmarkStart w:id="13" w:name="_Toc237075101"/>
      <w:r>
        <w:rPr>
          <w:rFonts w:hint="eastAsia" w:ascii="黑体" w:hAnsi="黑体" w:eastAsia="黑体" w:cs="黑体"/>
          <w:b w:val="0"/>
          <w:bCs w:val="0"/>
          <w:sz w:val="21"/>
          <w:szCs w:val="21"/>
          <w:lang w:eastAsia="zh-CN"/>
        </w:rPr>
        <w:t>4.1  内容安排逻辑</w:t>
      </w:r>
      <w:bookmarkEnd w:id="13"/>
    </w:p>
    <w:p w14:paraId="3E082848">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标准正文按“边界—能力—指标—实施—判定”的顺序组织。第1章至第3章确定适用范围、引用文件和术语；第4章说明总体框架并规定能力要求；第5章把能力转化为五类专业评价指标；第6章规定评估方法、国标可信度证据核查和等级判定；资料性附录A给出</w:t>
      </w: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附录A与本标准条款的对应关系。这样的安排便于评估方先确认对象和证据，再选择指标与方法，最后给出带适用边界的结论。</w:t>
      </w:r>
    </w:p>
    <w:p w14:paraId="59FE1E35">
      <w:pPr>
        <w:pStyle w:val="4"/>
        <w:spacing w:before="120" w:line="360" w:lineRule="auto"/>
        <w:rPr>
          <w:rFonts w:hint="eastAsia" w:ascii="黑体" w:hAnsi="黑体" w:eastAsia="黑体" w:cs="黑体"/>
          <w:b w:val="0"/>
          <w:bCs w:val="0"/>
          <w:sz w:val="21"/>
          <w:szCs w:val="21"/>
          <w:lang w:eastAsia="zh-CN"/>
        </w:rPr>
      </w:pPr>
      <w:bookmarkStart w:id="14" w:name="_Toc237075102"/>
      <w:r>
        <w:rPr>
          <w:rFonts w:hint="eastAsia" w:ascii="黑体" w:hAnsi="黑体" w:eastAsia="黑体" w:cs="黑体"/>
          <w:b w:val="0"/>
          <w:bCs w:val="0"/>
          <w:sz w:val="21"/>
          <w:szCs w:val="21"/>
          <w:lang w:eastAsia="zh-CN"/>
        </w:rPr>
        <w:t>4.2  总体评估框架</w:t>
      </w:r>
      <w:bookmarkEnd w:id="14"/>
    </w:p>
    <w:p w14:paraId="28F1FDB0">
      <w:pPr>
        <w:spacing w:line="360" w:lineRule="auto"/>
        <w:jc w:val="both"/>
        <w:rPr>
          <w:rFonts w:hint="eastAsia" w:ascii="宋体" w:hAnsi="宋体" w:eastAsia="宋体" w:cs="宋体"/>
          <w:sz w:val="21"/>
          <w:szCs w:val="21"/>
          <w:lang w:eastAsia="zh-CN"/>
        </w:rPr>
      </w:pPr>
      <w:bookmarkStart w:id="15" w:name="_Toc237075103"/>
      <w:r>
        <w:rPr>
          <w:rFonts w:hint="eastAsia" w:ascii="宋体" w:hAnsi="宋体" w:eastAsia="宋体" w:cs="宋体"/>
          <w:sz w:val="21"/>
          <w:szCs w:val="21"/>
          <w:lang w:eastAsia="zh-CN"/>
        </w:rPr>
        <w:t>完整评估执行流程：</w:t>
      </w:r>
    </w:p>
    <w:p w14:paraId="669E0EEB">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步骤 1：确认评价对象、软件版本、工具链、数据集、预设应用场景；</w:t>
      </w:r>
    </w:p>
    <w:p w14:paraId="58AF403C">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步骤 2：开展</w:t>
      </w: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五类可信度证据前置核查，证据不全则终止等级评定；</w:t>
      </w:r>
    </w:p>
    <w:p w14:paraId="56402918">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步骤 3：分交通流、感知、通信、场景、通用性五大模块开展指标测试；</w:t>
      </w:r>
    </w:p>
    <w:p w14:paraId="76755BC0">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步骤 4：定量指标采用数据对比 / 虚实联合验证，定性指标组织不少于 5 名专家结构化评审；</w:t>
      </w:r>
    </w:p>
    <w:p w14:paraId="0F4DD362">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步骤 5：按推荐模块权重加权计算综合得分，结合模块单项得分约束、证据完整性判定最终可信度等级；</w:t>
      </w:r>
    </w:p>
    <w:p w14:paraId="37B3092E">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步骤 6：出具完整可追溯评估报告，明确结论适用边界、复评触发条件。</w:t>
      </w:r>
    </w:p>
    <w:p w14:paraId="6505D1C9">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整体框架分层逻辑：仿真基础能力校核→多链路测试验证取证→多维度可信度指标评价→综合分级判定。</w:t>
      </w:r>
    </w:p>
    <w:p w14:paraId="02D6AA47">
      <w:pPr>
        <w:pStyle w:val="4"/>
        <w:spacing w:before="120" w:line="360" w:lineRule="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4.3  能力要求</w:t>
      </w:r>
      <w:bookmarkEnd w:id="15"/>
      <w:r>
        <w:rPr>
          <w:rFonts w:hint="eastAsia" w:ascii="黑体" w:hAnsi="黑体" w:eastAsia="黑体" w:cs="黑体"/>
          <w:b w:val="0"/>
          <w:bCs w:val="0"/>
          <w:sz w:val="21"/>
          <w:szCs w:val="21"/>
          <w:lang w:eastAsia="zh-CN"/>
        </w:rPr>
        <w:t>（第4章）</w:t>
      </w:r>
    </w:p>
    <w:p w14:paraId="004F06FE">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交通流仿真部分同时规定宏观和微观能力。宏观内容用于配置路网、交通需求和控制策略，并输出交通流率、速度、密度、排队和路网运行指标；微观内容覆盖交通参与者、跟驰和换道等行为、异常事件、随机种子、数据导入、校准和结果追溯。这样处理可以把软件面向自动驾驶测试的微观能力，与交通运行状态分析所需的宏观输出联系起来。</w:t>
      </w:r>
    </w:p>
    <w:p w14:paraId="72CBDD4B">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感知和通信系统仿真围绕摄像头、激光雷达、毫米波雷达、卫星定位及V2X等模型展开；交通场景仿真按静态要素、动态要素、环境要素和突发事件要素组织；软件通用性覆盖</w:t>
      </w:r>
      <w:r>
        <w:rPr>
          <w:rFonts w:hint="default" w:ascii="Times New Roman" w:hAnsi="Times New Roman" w:eastAsia="宋体" w:cs="Times New Roman"/>
          <w:sz w:val="21"/>
          <w:szCs w:val="21"/>
          <w:lang w:eastAsia="zh-CN"/>
        </w:rPr>
        <w:t>SIL、HIL、VIL、</w:t>
      </w:r>
      <w:r>
        <w:rPr>
          <w:rFonts w:hint="eastAsia" w:ascii="宋体" w:hAnsi="宋体" w:eastAsia="宋体" w:cs="宋体"/>
          <w:sz w:val="21"/>
          <w:szCs w:val="21"/>
          <w:lang w:eastAsia="zh-CN"/>
        </w:rPr>
        <w:t>场景配置、算法接入、数据接口、扩展部署等能力。运行鲁棒性、数据安全和隐私保护作为支撑要求纳入总体评价，用于规范持续运行、异常场景、重复性、故障注入和敏感数据处置。</w:t>
      </w:r>
    </w:p>
    <w:p w14:paraId="11F57EBA">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感知条文按可观察对象、配置条件、误差指标和证据要求进行评价；激光雷达软件模型与专用硬件仿真器按各自能力边界分别记录。</w:t>
      </w:r>
    </w:p>
    <w:p w14:paraId="120B723A">
      <w:pPr>
        <w:pStyle w:val="4"/>
        <w:spacing w:before="120" w:line="360" w:lineRule="auto"/>
        <w:rPr>
          <w:rFonts w:hint="eastAsia" w:ascii="黑体" w:hAnsi="黑体" w:eastAsia="黑体" w:cs="黑体"/>
          <w:b w:val="0"/>
          <w:bCs w:val="0"/>
          <w:sz w:val="21"/>
          <w:szCs w:val="21"/>
          <w:lang w:eastAsia="zh-CN"/>
        </w:rPr>
      </w:pPr>
      <w:bookmarkStart w:id="16" w:name="_Toc237075104"/>
      <w:r>
        <w:rPr>
          <w:rFonts w:hint="eastAsia" w:ascii="黑体" w:hAnsi="黑体" w:eastAsia="黑体" w:cs="黑体"/>
          <w:b w:val="0"/>
          <w:bCs w:val="0"/>
          <w:sz w:val="21"/>
          <w:szCs w:val="21"/>
          <w:lang w:eastAsia="zh-CN"/>
        </w:rPr>
        <w:t>4.4  专业能力指标</w:t>
      </w:r>
      <w:bookmarkEnd w:id="16"/>
      <w:r>
        <w:rPr>
          <w:rFonts w:hint="eastAsia" w:ascii="黑体" w:hAnsi="黑体" w:eastAsia="黑体" w:cs="黑体"/>
          <w:b w:val="0"/>
          <w:bCs w:val="0"/>
          <w:sz w:val="21"/>
          <w:szCs w:val="21"/>
          <w:lang w:eastAsia="zh-CN"/>
        </w:rPr>
        <w:t>（第5章）</w:t>
      </w:r>
    </w:p>
    <w:p w14:paraId="5C29C794">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5章设置交通流仿真、感知系统仿真、通信系统仿真、交通场景仿真和软件通用性五个模块。交通流指标围绕跟驰、换道、交叉口、弱势道路使用者和场景生成；感知指标给出部分误差或一致性量化口径；场景指标继续按静态、动态、环境和突发事件细分；通信和通用性指标分别评价通信性能与软件接入、运行和扩展能力。</w:t>
      </w:r>
    </w:p>
    <w:p w14:paraId="49DA4E8F">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五级评分用于形成模块得分和综合等级。感知模块采用条文给出的量化阈值，交通流、通信、场景和通用性按第6章规定的证据、专家评审和评价记录形成模块得分。为说明不同类型指标如何转化为可执行的评价活动，表3按五类专业能力列出典型指标及其评价方法、判定依据和证据记录，并汇总跨模块通用规则。各模块其他指标按标准正文第5章相应条款和第6章规定的方法实施评价。</w:t>
      </w:r>
    </w:p>
    <w:p w14:paraId="57049CF7">
      <w:pPr>
        <w:pStyle w:val="4"/>
        <w:spacing w:before="120" w:line="360" w:lineRule="auto"/>
        <w:rPr>
          <w:rFonts w:hint="eastAsia" w:ascii="黑体" w:hAnsi="黑体" w:eastAsia="黑体" w:cs="黑体"/>
          <w:b w:val="0"/>
          <w:bCs w:val="0"/>
          <w:sz w:val="21"/>
          <w:szCs w:val="21"/>
          <w:lang w:eastAsia="zh-CN"/>
        </w:rPr>
      </w:pPr>
      <w:bookmarkStart w:id="17" w:name="_Toc237075105"/>
      <w:r>
        <w:rPr>
          <w:rFonts w:hint="eastAsia" w:ascii="黑体" w:hAnsi="黑体" w:eastAsia="黑体" w:cs="黑体"/>
          <w:b w:val="0"/>
          <w:bCs w:val="0"/>
          <w:sz w:val="21"/>
          <w:szCs w:val="21"/>
          <w:lang w:eastAsia="zh-CN"/>
        </w:rPr>
        <w:t>4.5  评估实施与等级判定</w:t>
      </w:r>
      <w:bookmarkEnd w:id="17"/>
      <w:r>
        <w:rPr>
          <w:rFonts w:hint="eastAsia" w:ascii="黑体" w:hAnsi="黑体" w:eastAsia="黑体" w:cs="黑体"/>
          <w:b w:val="0"/>
          <w:bCs w:val="0"/>
          <w:sz w:val="21"/>
          <w:szCs w:val="21"/>
          <w:lang w:eastAsia="zh-CN"/>
        </w:rPr>
        <w:t>（第6章）</w:t>
      </w:r>
    </w:p>
    <w:p w14:paraId="6706817A">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6章给出数据对比法、专家评审法和仿真—实车联合验证法。对模型精度或与真实世界一致性有关的指标，应采用数据对比或联合验证进行定量评价；不少于5名专家的结构化评审用于补充功能完整性、证据充分性、适用边界和工程合理性评价。三类方法按指标性质组合使用。</w:t>
      </w:r>
    </w:p>
    <w:p w14:paraId="7FA205AD">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第6.4条将GB/T 47025—2026附录A的要求转化为五类核查证据：管理证据、分析证据、验证证据、确认及不确定性证据、文件与追溯证据。第6.5条将关键版本、数据谱系、相关性阈值、验证和确认记录等适用证据的完整性和可追溯性作为等级判定条件，明确国标证据与专业能力评分的衔接关系。</w:t>
      </w:r>
    </w:p>
    <w:p w14:paraId="05C0AE52">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第6.5条给出交通流、感知、通信、交通场景和软件通用性五个模块的推荐权重，分别为30%、25%、10%、20%和15%。评价报告应列明采用的权重、应用场景和模块得分。</w:t>
      </w:r>
    </w:p>
    <w:p w14:paraId="4BEC25A1">
      <w:pPr>
        <w:pStyle w:val="4"/>
        <w:spacing w:before="120" w:line="360" w:lineRule="auto"/>
        <w:rPr>
          <w:rFonts w:hint="eastAsia" w:ascii="黑体" w:hAnsi="黑体" w:eastAsia="黑体" w:cs="黑体"/>
          <w:b w:val="0"/>
          <w:bCs w:val="0"/>
          <w:sz w:val="21"/>
          <w:szCs w:val="21"/>
          <w:lang w:eastAsia="zh-CN"/>
        </w:rPr>
      </w:pPr>
      <w:bookmarkStart w:id="18" w:name="_Toc237075106"/>
      <w:r>
        <w:rPr>
          <w:rFonts w:hint="eastAsia" w:ascii="黑体" w:hAnsi="黑体" w:eastAsia="黑体" w:cs="黑体"/>
          <w:b w:val="0"/>
          <w:bCs w:val="0"/>
          <w:sz w:val="21"/>
          <w:szCs w:val="21"/>
          <w:lang w:eastAsia="zh-CN"/>
        </w:rPr>
        <w:t>4.6  资料性附录A</w:t>
      </w:r>
      <w:bookmarkEnd w:id="18"/>
    </w:p>
    <w:p w14:paraId="3D6C60EA">
      <w:pPr>
        <w:spacing w:line="360" w:lineRule="auto"/>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资料性附录A承担三项说明功能：A.1列出国标附录A与本标准第4章、6.4和6.5等条款的对应关系；A.2概括本标准对五类专业能力、支撑要求、评价方法和使用场景的细化；A.3说明两项评估应配套使用并共享适用边界。采用资料性附录，可以保留条款映射和定位说明，又不改变GB/T 47025—2026附录A本身的规范性要求。</w:t>
      </w:r>
    </w:p>
    <w:p w14:paraId="01CEB92B">
      <w:pPr>
        <w:spacing w:line="360" w:lineRule="auto"/>
        <w:ind w:firstLine="480"/>
        <w:rPr>
          <w:rFonts w:hint="eastAsia" w:ascii="黑体" w:hAnsi="黑体" w:eastAsia="黑体" w:cs="黑体"/>
          <w:b/>
          <w:bCs/>
          <w:sz w:val="21"/>
          <w:szCs w:val="21"/>
          <w:lang w:eastAsia="zh-CN"/>
        </w:rPr>
      </w:pPr>
      <w:r>
        <w:rPr>
          <w:rFonts w:hint="eastAsia" w:ascii="宋体" w:hAnsi="宋体" w:eastAsia="宋体" w:cs="宋体"/>
          <w:sz w:val="21"/>
          <w:szCs w:val="21"/>
          <w:lang w:eastAsia="zh-CN"/>
        </w:rPr>
        <w:t>表2围绕评价对象与边界、总体评估框架、五类专业能力、支撑性要求、评价方法、国标衔接和等级判定，归纳主要技术内容的编写考虑、依据和形成情况，用于说</w:t>
      </w:r>
      <w:r>
        <w:rPr>
          <w:rFonts w:hint="eastAsia" w:ascii="宋体" w:hAnsi="宋体" w:eastAsia="宋体" w:cs="宋体"/>
          <w:b w:val="0"/>
          <w:bCs w:val="0"/>
          <w:sz w:val="21"/>
          <w:szCs w:val="21"/>
          <w:lang w:eastAsia="zh-CN"/>
        </w:rPr>
        <w:t>明标准条文的技术逻辑。</w:t>
      </w:r>
    </w:p>
    <w:p w14:paraId="72A25706">
      <w:pPr>
        <w:keepNext/>
        <w:spacing w:line="240" w:lineRule="auto"/>
        <w:ind w:firstLine="0"/>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表 2  主要技术内容、编写考虑及依据</w:t>
      </w:r>
    </w:p>
    <w:tbl>
      <w:tblPr>
        <w:tblStyle w:val="36"/>
        <w:tblW w:w="8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15"/>
        <w:gridCol w:w="3341"/>
        <w:gridCol w:w="1571"/>
        <w:gridCol w:w="2767"/>
      </w:tblGrid>
      <w:tr w14:paraId="29F53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215" w:type="dxa"/>
            <w:tcMar>
              <w:top w:w="70" w:type="dxa"/>
              <w:left w:w="90" w:type="dxa"/>
              <w:bottom w:w="70" w:type="dxa"/>
              <w:right w:w="90" w:type="dxa"/>
            </w:tcMar>
            <w:vAlign w:val="center"/>
          </w:tcPr>
          <w:p w14:paraId="58F1680F">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技术内容</w:t>
            </w:r>
          </w:p>
        </w:tc>
        <w:tc>
          <w:tcPr>
            <w:tcW w:w="3341" w:type="dxa"/>
            <w:tcMar>
              <w:top w:w="70" w:type="dxa"/>
              <w:left w:w="90" w:type="dxa"/>
              <w:bottom w:w="70" w:type="dxa"/>
              <w:right w:w="90" w:type="dxa"/>
            </w:tcMar>
            <w:vAlign w:val="center"/>
          </w:tcPr>
          <w:p w14:paraId="4031E0FD">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编写考虑</w:t>
            </w:r>
          </w:p>
        </w:tc>
        <w:tc>
          <w:tcPr>
            <w:tcW w:w="1571" w:type="dxa"/>
            <w:tcMar>
              <w:top w:w="70" w:type="dxa"/>
              <w:left w:w="90" w:type="dxa"/>
              <w:bottom w:w="70" w:type="dxa"/>
              <w:right w:w="90" w:type="dxa"/>
            </w:tcMar>
            <w:vAlign w:val="center"/>
          </w:tcPr>
          <w:p w14:paraId="54912612">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主要依据</w:t>
            </w:r>
          </w:p>
        </w:tc>
        <w:tc>
          <w:tcPr>
            <w:tcW w:w="2767" w:type="dxa"/>
            <w:tcMar>
              <w:top w:w="70" w:type="dxa"/>
              <w:left w:w="90" w:type="dxa"/>
              <w:bottom w:w="70" w:type="dxa"/>
              <w:right w:w="90" w:type="dxa"/>
            </w:tcMar>
            <w:vAlign w:val="center"/>
          </w:tcPr>
          <w:p w14:paraId="5F6E6A69">
            <w:pPr>
              <w:spacing w:line="240" w:lineRule="auto"/>
              <w:ind w:firstLine="0"/>
              <w:jc w:val="center"/>
              <w:rPr>
                <w:rFonts w:hint="eastAsia" w:ascii="黑体" w:hAnsi="黑体" w:eastAsia="黑体" w:cs="黑体"/>
                <w:b w:val="0"/>
                <w:bCs/>
                <w:sz w:val="18"/>
                <w:szCs w:val="18"/>
              </w:rPr>
            </w:pPr>
            <w:r>
              <w:rPr>
                <w:rFonts w:hint="eastAsia" w:ascii="黑体" w:hAnsi="黑体" w:eastAsia="黑体" w:cs="黑体"/>
                <w:b w:val="0"/>
                <w:bCs/>
                <w:sz w:val="18"/>
                <w:szCs w:val="18"/>
              </w:rPr>
              <w:t>形成情况</w:t>
            </w:r>
          </w:p>
        </w:tc>
      </w:tr>
      <w:tr w14:paraId="4AC64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3E6EA4A3">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评价对象与边界</w:t>
            </w:r>
          </w:p>
        </w:tc>
        <w:tc>
          <w:tcPr>
            <w:tcW w:w="3341" w:type="dxa"/>
            <w:tcMar>
              <w:top w:w="70" w:type="dxa"/>
              <w:left w:w="90" w:type="dxa"/>
              <w:bottom w:w="70" w:type="dxa"/>
              <w:right w:w="90" w:type="dxa"/>
            </w:tcMar>
          </w:tcPr>
          <w:p w14:paraId="35AED2E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明确交通仿真测试软件及相关工具链、模型、数据和场景的评价范围，区分软件整体能力与单一部件能力。</w:t>
            </w:r>
          </w:p>
        </w:tc>
        <w:tc>
          <w:tcPr>
            <w:tcW w:w="1571" w:type="dxa"/>
            <w:tcMar>
              <w:top w:w="70" w:type="dxa"/>
              <w:left w:w="90" w:type="dxa"/>
              <w:bottom w:w="70" w:type="dxa"/>
              <w:right w:w="90" w:type="dxa"/>
            </w:tcMar>
          </w:tcPr>
          <w:p w14:paraId="0EDD27DC">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第1章、第4章及专家意见</w:t>
            </w:r>
          </w:p>
        </w:tc>
        <w:tc>
          <w:tcPr>
            <w:tcW w:w="2767" w:type="dxa"/>
            <w:tcMar>
              <w:top w:w="70" w:type="dxa"/>
              <w:left w:w="90" w:type="dxa"/>
              <w:bottom w:w="70" w:type="dxa"/>
              <w:right w:w="90" w:type="dxa"/>
            </w:tcMar>
          </w:tcPr>
          <w:p w14:paraId="554ECAC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形成评价边界，并明确乘员舱专项能力不纳入本标准评价范围。</w:t>
            </w:r>
          </w:p>
        </w:tc>
      </w:tr>
      <w:tr w14:paraId="34268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347C13E8">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两部分评估框架</w:t>
            </w:r>
          </w:p>
        </w:tc>
        <w:tc>
          <w:tcPr>
            <w:tcW w:w="3341" w:type="dxa"/>
            <w:tcMar>
              <w:top w:w="70" w:type="dxa"/>
              <w:left w:w="90" w:type="dxa"/>
              <w:bottom w:w="70" w:type="dxa"/>
              <w:right w:w="90" w:type="dxa"/>
            </w:tcMar>
          </w:tcPr>
          <w:p w14:paraId="17148C2B">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分别设置仿真试验可信度评估和专业能力评估，并绑定同一软件版本、工具链配置、模型、数据条件和预定应用场景。</w:t>
            </w:r>
          </w:p>
        </w:tc>
        <w:tc>
          <w:tcPr>
            <w:tcW w:w="1571" w:type="dxa"/>
            <w:tcMar>
              <w:top w:w="70" w:type="dxa"/>
              <w:left w:w="90" w:type="dxa"/>
              <w:bottom w:w="70" w:type="dxa"/>
              <w:right w:w="90" w:type="dxa"/>
            </w:tcMar>
          </w:tcPr>
          <w:p w14:paraId="0A51FBC8">
            <w:pPr>
              <w:spacing w:line="240" w:lineRule="auto"/>
              <w:ind w:firstLine="0"/>
              <w:rPr>
                <w:rFonts w:hint="eastAsia" w:ascii="宋体" w:hAnsi="宋体" w:eastAsia="宋体" w:cs="宋体"/>
                <w:sz w:val="18"/>
                <w:szCs w:val="18"/>
              </w:rPr>
            </w:pPr>
            <w:r>
              <w:rPr>
                <w:rFonts w:hint="default" w:ascii="Times New Roman" w:hAnsi="Times New Roman" w:eastAsia="宋体" w:cs="Times New Roman"/>
                <w:b w:val="0"/>
                <w:bCs w:val="0"/>
                <w:sz w:val="18"/>
                <w:szCs w:val="18"/>
              </w:rPr>
              <w:t>GB/T 47025—2026</w:t>
            </w:r>
            <w:r>
              <w:rPr>
                <w:rFonts w:hint="eastAsia" w:ascii="宋体" w:hAnsi="宋体" w:eastAsia="宋体" w:cs="宋体"/>
                <w:sz w:val="18"/>
                <w:szCs w:val="18"/>
              </w:rPr>
              <w:t>附录A、第4章</w:t>
            </w:r>
          </w:p>
        </w:tc>
        <w:tc>
          <w:tcPr>
            <w:tcW w:w="2767" w:type="dxa"/>
            <w:tcMar>
              <w:top w:w="70" w:type="dxa"/>
              <w:left w:w="90" w:type="dxa"/>
              <w:bottom w:w="70" w:type="dxa"/>
              <w:right w:w="90" w:type="dxa"/>
            </w:tcMar>
          </w:tcPr>
          <w:p w14:paraId="0634D6F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形成第4章总体框架和资料性附录A定位说明。</w:t>
            </w:r>
          </w:p>
        </w:tc>
      </w:tr>
      <w:tr w14:paraId="3D280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44138AB1">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五类专业能力</w:t>
            </w:r>
          </w:p>
        </w:tc>
        <w:tc>
          <w:tcPr>
            <w:tcW w:w="3341" w:type="dxa"/>
            <w:tcMar>
              <w:top w:w="70" w:type="dxa"/>
              <w:left w:w="90" w:type="dxa"/>
              <w:bottom w:w="70" w:type="dxa"/>
              <w:right w:w="90" w:type="dxa"/>
            </w:tcMar>
          </w:tcPr>
          <w:p w14:paraId="3CBC87E9">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围绕交通流、感知、通信、交通场景和软件通用性组织指标，覆盖模型、接口、运行和扩展能力。</w:t>
            </w:r>
          </w:p>
        </w:tc>
        <w:tc>
          <w:tcPr>
            <w:tcW w:w="1571" w:type="dxa"/>
            <w:tcMar>
              <w:top w:w="70" w:type="dxa"/>
              <w:left w:w="90" w:type="dxa"/>
              <w:bottom w:w="70" w:type="dxa"/>
              <w:right w:w="90" w:type="dxa"/>
            </w:tcMar>
          </w:tcPr>
          <w:p w14:paraId="27B6C6CB">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第4章、第5章</w:t>
            </w:r>
          </w:p>
        </w:tc>
        <w:tc>
          <w:tcPr>
            <w:tcW w:w="2767" w:type="dxa"/>
            <w:tcMar>
              <w:top w:w="70" w:type="dxa"/>
              <w:left w:w="90" w:type="dxa"/>
              <w:bottom w:w="70" w:type="dxa"/>
              <w:right w:w="90" w:type="dxa"/>
            </w:tcMar>
          </w:tcPr>
          <w:p w14:paraId="29F528B9">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形成五类专业能力模块及相应指标结构。</w:t>
            </w:r>
          </w:p>
        </w:tc>
      </w:tr>
      <w:tr w14:paraId="1CDC1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4377D180">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鲁棒性与数据处置</w:t>
            </w:r>
          </w:p>
        </w:tc>
        <w:tc>
          <w:tcPr>
            <w:tcW w:w="3341" w:type="dxa"/>
            <w:tcMar>
              <w:top w:w="70" w:type="dxa"/>
              <w:left w:w="90" w:type="dxa"/>
              <w:bottom w:w="70" w:type="dxa"/>
              <w:right w:w="90" w:type="dxa"/>
            </w:tcMar>
          </w:tcPr>
          <w:p w14:paraId="66AD002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关注持续运行、异常场景、重复性、故障追溯以及敏感数据脱敏和加密等支撑能力。</w:t>
            </w:r>
          </w:p>
        </w:tc>
        <w:tc>
          <w:tcPr>
            <w:tcW w:w="1571" w:type="dxa"/>
            <w:tcMar>
              <w:top w:w="70" w:type="dxa"/>
              <w:left w:w="90" w:type="dxa"/>
              <w:bottom w:w="70" w:type="dxa"/>
              <w:right w:w="90" w:type="dxa"/>
            </w:tcMar>
          </w:tcPr>
          <w:p w14:paraId="15EAC9A8">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第4.4、4.6条及专家意见</w:t>
            </w:r>
          </w:p>
        </w:tc>
        <w:tc>
          <w:tcPr>
            <w:tcW w:w="2767" w:type="dxa"/>
            <w:tcMar>
              <w:top w:w="70" w:type="dxa"/>
              <w:left w:w="90" w:type="dxa"/>
              <w:bottom w:w="70" w:type="dxa"/>
              <w:right w:w="90" w:type="dxa"/>
            </w:tcMar>
          </w:tcPr>
          <w:p w14:paraId="6B46F97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纳入总体评价框架，按第4.6条、附录A和第6章记录评价结果。</w:t>
            </w:r>
          </w:p>
        </w:tc>
      </w:tr>
      <w:tr w14:paraId="7852C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738DC233">
            <w:pPr>
              <w:spacing w:line="240" w:lineRule="auto"/>
              <w:ind w:firstLine="0"/>
              <w:jc w:val="center"/>
              <w:rPr>
                <w:rFonts w:hint="eastAsia" w:ascii="宋体" w:hAnsi="宋体" w:eastAsia="宋体" w:cs="宋体"/>
                <w:sz w:val="18"/>
                <w:szCs w:val="18"/>
              </w:rPr>
            </w:pPr>
          </w:p>
          <w:p w14:paraId="4317C0DC">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评估方法</w:t>
            </w:r>
          </w:p>
        </w:tc>
        <w:tc>
          <w:tcPr>
            <w:tcW w:w="3341" w:type="dxa"/>
            <w:tcMar>
              <w:top w:w="70" w:type="dxa"/>
              <w:left w:w="90" w:type="dxa"/>
              <w:bottom w:w="70" w:type="dxa"/>
              <w:right w:w="90" w:type="dxa"/>
            </w:tcMar>
          </w:tcPr>
          <w:p w14:paraId="014E9D1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根据指标性质选择数据对比、专家评审或仿真—实车联合验证，避免以单一方法评价全部能力。</w:t>
            </w:r>
          </w:p>
        </w:tc>
        <w:tc>
          <w:tcPr>
            <w:tcW w:w="1571" w:type="dxa"/>
            <w:tcMar>
              <w:top w:w="70" w:type="dxa"/>
              <w:left w:w="90" w:type="dxa"/>
              <w:bottom w:w="70" w:type="dxa"/>
              <w:right w:w="90" w:type="dxa"/>
            </w:tcMar>
          </w:tcPr>
          <w:p w14:paraId="3FECC3FC">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第6.1至6.3条</w:t>
            </w:r>
          </w:p>
        </w:tc>
        <w:tc>
          <w:tcPr>
            <w:tcW w:w="2767" w:type="dxa"/>
            <w:tcMar>
              <w:top w:w="70" w:type="dxa"/>
              <w:left w:w="90" w:type="dxa"/>
              <w:bottom w:w="70" w:type="dxa"/>
              <w:right w:w="90" w:type="dxa"/>
            </w:tcMar>
          </w:tcPr>
          <w:p w14:paraId="79276B7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形成三类评估方法及其适用条件。</w:t>
            </w:r>
          </w:p>
        </w:tc>
      </w:tr>
      <w:tr w14:paraId="7C779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71013B1F">
            <w:pPr>
              <w:spacing w:line="240" w:lineRule="auto"/>
              <w:ind w:firstLine="0"/>
              <w:jc w:val="center"/>
              <w:rPr>
                <w:rFonts w:hint="eastAsia" w:ascii="宋体" w:hAnsi="宋体" w:eastAsia="宋体" w:cs="宋体"/>
                <w:sz w:val="18"/>
                <w:szCs w:val="18"/>
              </w:rPr>
            </w:pPr>
          </w:p>
          <w:p w14:paraId="1A9598D5">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国标衔接</w:t>
            </w:r>
          </w:p>
        </w:tc>
        <w:tc>
          <w:tcPr>
            <w:tcW w:w="3341" w:type="dxa"/>
            <w:tcMar>
              <w:top w:w="70" w:type="dxa"/>
              <w:left w:w="90" w:type="dxa"/>
              <w:bottom w:w="70" w:type="dxa"/>
              <w:right w:w="90" w:type="dxa"/>
            </w:tcMar>
          </w:tcPr>
          <w:p w14:paraId="7814DABF">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将</w:t>
            </w:r>
            <w:r>
              <w:rPr>
                <w:rFonts w:hint="default" w:ascii="Times New Roman" w:hAnsi="Times New Roman" w:eastAsia="宋体" w:cs="Times New Roman"/>
                <w:sz w:val="18"/>
                <w:szCs w:val="18"/>
                <w:lang w:eastAsia="zh-CN"/>
              </w:rPr>
              <w:t>GB/T 47025—2026</w:t>
            </w:r>
            <w:r>
              <w:rPr>
                <w:rFonts w:hint="eastAsia" w:ascii="宋体" w:hAnsi="宋体" w:eastAsia="宋体" w:cs="宋体"/>
                <w:sz w:val="18"/>
                <w:szCs w:val="18"/>
                <w:lang w:eastAsia="zh-CN"/>
              </w:rPr>
              <w:t>附录A归纳为管理、分析、验证、确认及不确定性、文件与追溯五类证据。</w:t>
            </w:r>
          </w:p>
        </w:tc>
        <w:tc>
          <w:tcPr>
            <w:tcW w:w="1571" w:type="dxa"/>
            <w:tcMar>
              <w:top w:w="70" w:type="dxa"/>
              <w:left w:w="90" w:type="dxa"/>
              <w:bottom w:w="70" w:type="dxa"/>
              <w:right w:w="90" w:type="dxa"/>
            </w:tcMar>
          </w:tcPr>
          <w:p w14:paraId="5318DA81">
            <w:pPr>
              <w:spacing w:line="240" w:lineRule="auto"/>
              <w:ind w:firstLine="0"/>
              <w:rPr>
                <w:rFonts w:hint="eastAsia" w:ascii="宋体" w:hAnsi="宋体" w:eastAsia="宋体" w:cs="宋体"/>
                <w:sz w:val="18"/>
                <w:szCs w:val="18"/>
                <w:lang w:eastAsia="zh-CN"/>
              </w:rPr>
            </w:pPr>
            <w:r>
              <w:rPr>
                <w:rFonts w:hint="default" w:ascii="Times New Roman" w:hAnsi="Times New Roman" w:eastAsia="宋体" w:cs="Times New Roman"/>
                <w:sz w:val="18"/>
                <w:szCs w:val="18"/>
                <w:lang w:eastAsia="zh-CN"/>
              </w:rPr>
              <w:t>GB/T 47025—2026</w:t>
            </w:r>
            <w:r>
              <w:rPr>
                <w:rFonts w:hint="eastAsia" w:ascii="宋体" w:hAnsi="宋体" w:eastAsia="宋体" w:cs="宋体"/>
                <w:sz w:val="18"/>
                <w:szCs w:val="18"/>
                <w:lang w:eastAsia="zh-CN"/>
              </w:rPr>
              <w:t>附录A、第6.4条、附录A</w:t>
            </w:r>
          </w:p>
        </w:tc>
        <w:tc>
          <w:tcPr>
            <w:tcW w:w="2767" w:type="dxa"/>
            <w:tcMar>
              <w:top w:w="70" w:type="dxa"/>
              <w:left w:w="90" w:type="dxa"/>
              <w:bottom w:w="70" w:type="dxa"/>
              <w:right w:w="90" w:type="dxa"/>
            </w:tcMar>
          </w:tcPr>
          <w:p w14:paraId="7B837049">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形成国标要求与本标准条款的对应说明。</w:t>
            </w:r>
          </w:p>
        </w:tc>
      </w:tr>
      <w:tr w14:paraId="3927D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215" w:type="dxa"/>
            <w:tcMar>
              <w:top w:w="70" w:type="dxa"/>
              <w:left w:w="90" w:type="dxa"/>
              <w:bottom w:w="70" w:type="dxa"/>
              <w:right w:w="90" w:type="dxa"/>
            </w:tcMar>
          </w:tcPr>
          <w:p w14:paraId="11E2679D">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等级判定</w:t>
            </w:r>
          </w:p>
        </w:tc>
        <w:tc>
          <w:tcPr>
            <w:tcW w:w="3341" w:type="dxa"/>
            <w:tcMar>
              <w:top w:w="70" w:type="dxa"/>
              <w:left w:w="90" w:type="dxa"/>
              <w:bottom w:w="70" w:type="dxa"/>
              <w:right w:w="90" w:type="dxa"/>
            </w:tcMar>
          </w:tcPr>
          <w:p w14:paraId="35ADA91C">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以专业能力综合得分、模块得分和适用的可信度证据作为等级表达依据。</w:t>
            </w:r>
          </w:p>
        </w:tc>
        <w:tc>
          <w:tcPr>
            <w:tcW w:w="1571" w:type="dxa"/>
            <w:tcMar>
              <w:top w:w="70" w:type="dxa"/>
              <w:left w:w="90" w:type="dxa"/>
              <w:bottom w:w="70" w:type="dxa"/>
              <w:right w:w="90" w:type="dxa"/>
            </w:tcMar>
          </w:tcPr>
          <w:p w14:paraId="623D5E0D">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第6.5条</w:t>
            </w:r>
          </w:p>
        </w:tc>
        <w:tc>
          <w:tcPr>
            <w:tcW w:w="2767" w:type="dxa"/>
            <w:tcMar>
              <w:top w:w="70" w:type="dxa"/>
              <w:left w:w="90" w:type="dxa"/>
              <w:bottom w:w="70" w:type="dxa"/>
              <w:right w:w="90" w:type="dxa"/>
            </w:tcMar>
          </w:tcPr>
          <w:p w14:paraId="674E127B">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形成等级结构，评价时按推荐权重和分档条件记录结果。</w:t>
            </w:r>
          </w:p>
        </w:tc>
      </w:tr>
    </w:tbl>
    <w:p w14:paraId="48B8855C">
      <w:pPr>
        <w:ind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表3选取标准正文第5章五类模块中的典型指标，并同时列出跨模块适用的评分、权重、数据安全和版本追溯规则，说明这些内容与评价方法、判定依据和证据记录的对应关系。表中SSIM、RMSE和通信时延取自正文已有的量化口径，用于展示量化指标的记录方式；其余指标按标准正文第5章相应条款执行。</w:t>
      </w:r>
    </w:p>
    <w:p w14:paraId="69E0EECA">
      <w:pPr>
        <w:ind w:firstLine="480"/>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表 3  五类专业能力模块、典型指标及通用评价规则</w:t>
      </w:r>
    </w:p>
    <w:tbl>
      <w:tblPr>
        <w:tblStyle w:val="35"/>
        <w:tblW w:w="8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50"/>
        <w:gridCol w:w="1450"/>
        <w:gridCol w:w="1950"/>
        <w:gridCol w:w="1950"/>
        <w:gridCol w:w="1639"/>
      </w:tblGrid>
      <w:tr w14:paraId="7B258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850" w:type="dxa"/>
            <w:tcMar>
              <w:top w:w="70" w:type="dxa"/>
              <w:left w:w="90" w:type="dxa"/>
              <w:bottom w:w="70" w:type="dxa"/>
              <w:right w:w="90" w:type="dxa"/>
            </w:tcMar>
            <w:vAlign w:val="center"/>
          </w:tcPr>
          <w:p w14:paraId="7535A973">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评价模块或通用规则</w:t>
            </w:r>
          </w:p>
        </w:tc>
        <w:tc>
          <w:tcPr>
            <w:tcW w:w="1450" w:type="dxa"/>
            <w:tcMar>
              <w:top w:w="70" w:type="dxa"/>
              <w:left w:w="90" w:type="dxa"/>
              <w:bottom w:w="70" w:type="dxa"/>
              <w:right w:w="90" w:type="dxa"/>
            </w:tcMar>
            <w:vAlign w:val="center"/>
          </w:tcPr>
          <w:p w14:paraId="26B29A76">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设置考虑</w:t>
            </w:r>
          </w:p>
        </w:tc>
        <w:tc>
          <w:tcPr>
            <w:tcW w:w="1950" w:type="dxa"/>
            <w:tcMar>
              <w:top w:w="70" w:type="dxa"/>
              <w:left w:w="90" w:type="dxa"/>
              <w:bottom w:w="70" w:type="dxa"/>
              <w:right w:w="90" w:type="dxa"/>
            </w:tcMar>
            <w:vAlign w:val="center"/>
          </w:tcPr>
          <w:p w14:paraId="2CDC7A1C">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评价方法</w:t>
            </w:r>
          </w:p>
        </w:tc>
        <w:tc>
          <w:tcPr>
            <w:tcW w:w="1950" w:type="dxa"/>
            <w:tcMar>
              <w:top w:w="70" w:type="dxa"/>
              <w:left w:w="90" w:type="dxa"/>
              <w:bottom w:w="70" w:type="dxa"/>
              <w:right w:w="90" w:type="dxa"/>
            </w:tcMar>
            <w:vAlign w:val="center"/>
          </w:tcPr>
          <w:p w14:paraId="21454476">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评分/判定依据</w:t>
            </w:r>
          </w:p>
        </w:tc>
        <w:tc>
          <w:tcPr>
            <w:tcW w:w="1639" w:type="dxa"/>
            <w:tcMar>
              <w:top w:w="70" w:type="dxa"/>
              <w:left w:w="90" w:type="dxa"/>
              <w:bottom w:w="70" w:type="dxa"/>
              <w:right w:w="90" w:type="dxa"/>
            </w:tcMar>
            <w:vAlign w:val="center"/>
          </w:tcPr>
          <w:p w14:paraId="796036DC">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证据记录</w:t>
            </w:r>
          </w:p>
        </w:tc>
      </w:tr>
      <w:tr w14:paraId="00EB2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69CC948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交通流仿真（跟驰、换道、交叉口、弱势道路使用者、场景生成）</w:t>
            </w:r>
          </w:p>
        </w:tc>
        <w:tc>
          <w:tcPr>
            <w:tcW w:w="1450" w:type="dxa"/>
            <w:tcMar>
              <w:top w:w="70" w:type="dxa"/>
              <w:left w:w="90" w:type="dxa"/>
              <w:bottom w:w="70" w:type="dxa"/>
              <w:right w:w="90" w:type="dxa"/>
            </w:tcMar>
          </w:tcPr>
          <w:p w14:paraId="686A636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覆盖交通参与者行为、交叉口通行、弱势道路使用者交互和场景生成等专业能力。</w:t>
            </w:r>
          </w:p>
        </w:tc>
        <w:tc>
          <w:tcPr>
            <w:tcW w:w="1950" w:type="dxa"/>
            <w:tcMar>
              <w:top w:w="70" w:type="dxa"/>
              <w:left w:w="90" w:type="dxa"/>
              <w:bottom w:w="70" w:type="dxa"/>
              <w:right w:w="90" w:type="dxa"/>
            </w:tcMar>
          </w:tcPr>
          <w:p w14:paraId="5473F28E">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根据指标性质采用真实数据对比、仿真—实车联合验证或专家评审；明确场景、样本、参数和统计口径。</w:t>
            </w:r>
          </w:p>
        </w:tc>
        <w:tc>
          <w:tcPr>
            <w:tcW w:w="1950" w:type="dxa"/>
            <w:tcMar>
              <w:top w:w="70" w:type="dxa"/>
              <w:left w:w="90" w:type="dxa"/>
              <w:bottom w:w="70" w:type="dxa"/>
              <w:right w:w="90" w:type="dxa"/>
            </w:tcMar>
          </w:tcPr>
          <w:p w14:paraId="7F2D1BC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按标准正文第5.1条和第6章规定的方法判定；定性指标说明功能完整性、行为合理性和证据充分性。</w:t>
            </w:r>
          </w:p>
        </w:tc>
        <w:tc>
          <w:tcPr>
            <w:tcW w:w="1639" w:type="dxa"/>
            <w:tcMar>
              <w:top w:w="70" w:type="dxa"/>
              <w:left w:w="90" w:type="dxa"/>
              <w:bottom w:w="70" w:type="dxa"/>
              <w:right w:w="90" w:type="dxa"/>
            </w:tcMar>
          </w:tcPr>
          <w:p w14:paraId="008ECA15">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记录轨迹数据、场景参数、校准过程、随机种子、重复运行结果和评价结论。</w:t>
            </w:r>
          </w:p>
        </w:tc>
      </w:tr>
      <w:tr w14:paraId="1C96B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58CEE8EF">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感知系统仿真（SSIM、RMSE、反射强度误差等）</w:t>
            </w:r>
          </w:p>
        </w:tc>
        <w:tc>
          <w:tcPr>
            <w:tcW w:w="1450" w:type="dxa"/>
            <w:tcMar>
              <w:top w:w="70" w:type="dxa"/>
              <w:left w:w="90" w:type="dxa"/>
              <w:bottom w:w="70" w:type="dxa"/>
              <w:right w:w="90" w:type="dxa"/>
            </w:tcMar>
          </w:tcPr>
          <w:p w14:paraId="14CAEFA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覆盖摄像头、激光雷达、毫米波雷达和定位等模型；SSIM、RMSE等为正文已有的量化示例。</w:t>
            </w:r>
          </w:p>
        </w:tc>
        <w:tc>
          <w:tcPr>
            <w:tcW w:w="1950" w:type="dxa"/>
            <w:tcMar>
              <w:top w:w="70" w:type="dxa"/>
              <w:left w:w="90" w:type="dxa"/>
              <w:bottom w:w="70" w:type="dxa"/>
              <w:right w:w="90" w:type="dxa"/>
            </w:tcMar>
          </w:tcPr>
          <w:p w14:paraId="4857B3B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采用数据对比或仿真—实车联合验证；明确参考数据、标准目标、采样条件、样本量、公式和重复条件。</w:t>
            </w:r>
          </w:p>
        </w:tc>
        <w:tc>
          <w:tcPr>
            <w:tcW w:w="1950" w:type="dxa"/>
            <w:tcMar>
              <w:top w:w="70" w:type="dxa"/>
              <w:left w:w="90" w:type="dxa"/>
              <w:bottom w:w="70" w:type="dxa"/>
              <w:right w:w="90" w:type="dxa"/>
            </w:tcMar>
          </w:tcPr>
          <w:p w14:paraId="6795CD6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按标准正文第5.2条已有阈值和分档判定；其他指标说明适用边界和判定依据。</w:t>
            </w:r>
          </w:p>
        </w:tc>
        <w:tc>
          <w:tcPr>
            <w:tcW w:w="1639" w:type="dxa"/>
            <w:tcMar>
              <w:top w:w="70" w:type="dxa"/>
              <w:left w:w="90" w:type="dxa"/>
              <w:bottom w:w="70" w:type="dxa"/>
              <w:right w:w="90" w:type="dxa"/>
            </w:tcMar>
          </w:tcPr>
          <w:p w14:paraId="78F6513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记录参考图像或点云、目标条件、点云流程、公式、统计程序、模型边界和结果。</w:t>
            </w:r>
          </w:p>
        </w:tc>
      </w:tr>
      <w:tr w14:paraId="3FF33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5D40043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通信系统仿真（时延、丢包率、协议与异常行为）</w:t>
            </w:r>
          </w:p>
        </w:tc>
        <w:tc>
          <w:tcPr>
            <w:tcW w:w="1450" w:type="dxa"/>
            <w:tcMar>
              <w:top w:w="70" w:type="dxa"/>
              <w:left w:w="90" w:type="dxa"/>
              <w:bottom w:w="70" w:type="dxa"/>
              <w:right w:w="90" w:type="dxa"/>
            </w:tcMar>
          </w:tcPr>
          <w:p w14:paraId="7BEF198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覆盖V2X消息、协议参数、信息丢失、时延抖动和通信中断等能力。</w:t>
            </w:r>
          </w:p>
        </w:tc>
        <w:tc>
          <w:tcPr>
            <w:tcW w:w="1950" w:type="dxa"/>
            <w:tcMar>
              <w:top w:w="70" w:type="dxa"/>
              <w:left w:w="90" w:type="dxa"/>
              <w:bottom w:w="70" w:type="dxa"/>
              <w:right w:w="90" w:type="dxa"/>
            </w:tcMar>
          </w:tcPr>
          <w:p w14:paraId="1EB2746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采用数据对比或性能测试；明确网络配置、负载、测量起止点、采样频率、样本量和统计口径。</w:t>
            </w:r>
          </w:p>
        </w:tc>
        <w:tc>
          <w:tcPr>
            <w:tcW w:w="1950" w:type="dxa"/>
            <w:tcMar>
              <w:top w:w="70" w:type="dxa"/>
              <w:left w:w="90" w:type="dxa"/>
              <w:bottom w:w="70" w:type="dxa"/>
              <w:right w:w="90" w:type="dxa"/>
            </w:tcMar>
          </w:tcPr>
          <w:p w14:paraId="3F288E1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按标准正文第4.2.2条、第5.3条以及适用接口规范和应用场景的阈值或接受条件判定；没有统一阈值的项目记录接受条件和判定理由。</w:t>
            </w:r>
          </w:p>
        </w:tc>
        <w:tc>
          <w:tcPr>
            <w:tcW w:w="1639" w:type="dxa"/>
            <w:tcMar>
              <w:top w:w="70" w:type="dxa"/>
              <w:left w:w="90" w:type="dxa"/>
              <w:bottom w:w="70" w:type="dxa"/>
              <w:right w:w="90" w:type="dxa"/>
            </w:tcMar>
          </w:tcPr>
          <w:p w14:paraId="11DF5602">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记录协议、信道模型、负载、测量起止点、时延分布、丢包率、异常触发条件和结果。</w:t>
            </w:r>
          </w:p>
        </w:tc>
      </w:tr>
      <w:tr w14:paraId="6ED6A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714A26B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交通场景仿真（静态、动态、环境、突发事件）</w:t>
            </w:r>
          </w:p>
        </w:tc>
        <w:tc>
          <w:tcPr>
            <w:tcW w:w="1450" w:type="dxa"/>
            <w:tcMar>
              <w:top w:w="70" w:type="dxa"/>
              <w:left w:w="90" w:type="dxa"/>
              <w:bottom w:w="70" w:type="dxa"/>
              <w:right w:w="90" w:type="dxa"/>
            </w:tcMar>
          </w:tcPr>
          <w:p w14:paraId="44BB8B3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覆盖道路、交通设施、交通参与者、天气环境和场景事件的建模与联动。</w:t>
            </w:r>
          </w:p>
        </w:tc>
        <w:tc>
          <w:tcPr>
            <w:tcW w:w="1950" w:type="dxa"/>
            <w:tcMar>
              <w:top w:w="70" w:type="dxa"/>
              <w:left w:w="90" w:type="dxa"/>
              <w:bottom w:w="70" w:type="dxa"/>
              <w:right w:w="90" w:type="dxa"/>
            </w:tcMar>
          </w:tcPr>
          <w:p w14:paraId="69D80C3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采用场景覆盖核查、数据对比和专家评审；明确场景清单、参数范围、触发条件和重复运行条件。</w:t>
            </w:r>
          </w:p>
        </w:tc>
        <w:tc>
          <w:tcPr>
            <w:tcW w:w="1950" w:type="dxa"/>
            <w:tcMar>
              <w:top w:w="70" w:type="dxa"/>
              <w:left w:w="90" w:type="dxa"/>
              <w:bottom w:w="70" w:type="dxa"/>
              <w:right w:w="90" w:type="dxa"/>
            </w:tcMar>
          </w:tcPr>
          <w:p w14:paraId="2058F73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按标准正文第5.4条功能要求、场景覆盖和行为合理性判定；定性指标记录评分依据。</w:t>
            </w:r>
          </w:p>
        </w:tc>
        <w:tc>
          <w:tcPr>
            <w:tcW w:w="1639" w:type="dxa"/>
            <w:tcMar>
              <w:top w:w="70" w:type="dxa"/>
              <w:left w:w="90" w:type="dxa"/>
              <w:bottom w:w="70" w:type="dxa"/>
              <w:right w:w="90" w:type="dxa"/>
            </w:tcMar>
          </w:tcPr>
          <w:p w14:paraId="1010C80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记录场景库版本、要素参数、事件脚本、环境条件、覆盖矩阵、运行日志和结果。</w:t>
            </w:r>
          </w:p>
        </w:tc>
      </w:tr>
      <w:tr w14:paraId="352FD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3BC18D8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软件通用性（SIL、HIL、VIL、接口、实时性、扩展部署）</w:t>
            </w:r>
          </w:p>
        </w:tc>
        <w:tc>
          <w:tcPr>
            <w:tcW w:w="1450" w:type="dxa"/>
            <w:tcMar>
              <w:top w:w="70" w:type="dxa"/>
              <w:left w:w="90" w:type="dxa"/>
              <w:bottom w:w="70" w:type="dxa"/>
              <w:right w:w="90" w:type="dxa"/>
            </w:tcMar>
          </w:tcPr>
          <w:p w14:paraId="0B5E4C95">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评价软件在不同测试模式、接口接入、算法联调和扩展部署中的可用性。</w:t>
            </w:r>
          </w:p>
        </w:tc>
        <w:tc>
          <w:tcPr>
            <w:tcW w:w="1950" w:type="dxa"/>
            <w:tcMar>
              <w:top w:w="70" w:type="dxa"/>
              <w:left w:w="90" w:type="dxa"/>
              <w:bottom w:w="70" w:type="dxa"/>
              <w:right w:w="90" w:type="dxa"/>
            </w:tcMar>
          </w:tcPr>
          <w:p w14:paraId="3BACA4E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采用功能测试、性能测试、接口核查或专家评审；明确硬件配置、接口版本、负载和测试任务。</w:t>
            </w:r>
          </w:p>
        </w:tc>
        <w:tc>
          <w:tcPr>
            <w:tcW w:w="1950" w:type="dxa"/>
            <w:tcMar>
              <w:top w:w="70" w:type="dxa"/>
              <w:left w:w="90" w:type="dxa"/>
              <w:bottom w:w="70" w:type="dxa"/>
              <w:right w:w="90" w:type="dxa"/>
            </w:tcMar>
          </w:tcPr>
          <w:p w14:paraId="693E20C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按标准正文第5.5条能力要求及适用接口规范判定；说明测试模式组合和应用边界。</w:t>
            </w:r>
          </w:p>
        </w:tc>
        <w:tc>
          <w:tcPr>
            <w:tcW w:w="1639" w:type="dxa"/>
            <w:tcMar>
              <w:top w:w="70" w:type="dxa"/>
              <w:left w:w="90" w:type="dxa"/>
              <w:bottom w:w="70" w:type="dxa"/>
              <w:right w:w="90" w:type="dxa"/>
            </w:tcMar>
          </w:tcPr>
          <w:p w14:paraId="0F7C78B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记录测试模式、配置、接口、任务、负载、运行日志、故障处理和复现结果。</w:t>
            </w:r>
          </w:p>
        </w:tc>
      </w:tr>
      <w:tr w14:paraId="7312B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07A78A8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专家评审与五级评分（通用规则）</w:t>
            </w:r>
          </w:p>
        </w:tc>
        <w:tc>
          <w:tcPr>
            <w:tcW w:w="1450" w:type="dxa"/>
            <w:tcMar>
              <w:top w:w="70" w:type="dxa"/>
              <w:left w:w="90" w:type="dxa"/>
              <w:bottom w:w="70" w:type="dxa"/>
              <w:right w:w="90" w:type="dxa"/>
            </w:tcMar>
          </w:tcPr>
          <w:p w14:paraId="4179B0E9">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使定性能力要求能够形成模块得分和综合等级，并补充量化方法不能覆盖的功能和证据评价。</w:t>
            </w:r>
          </w:p>
        </w:tc>
        <w:tc>
          <w:tcPr>
            <w:tcW w:w="1950" w:type="dxa"/>
            <w:tcMar>
              <w:top w:w="70" w:type="dxa"/>
              <w:left w:w="90" w:type="dxa"/>
              <w:bottom w:w="70" w:type="dxa"/>
              <w:right w:w="90" w:type="dxa"/>
            </w:tcMar>
          </w:tcPr>
          <w:p w14:paraId="7484B50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采用结构化专家评审，必要时结合数据对比或仿真—实车联合验证；依据第6章方法实施。</w:t>
            </w:r>
          </w:p>
        </w:tc>
        <w:tc>
          <w:tcPr>
            <w:tcW w:w="1950" w:type="dxa"/>
            <w:tcMar>
              <w:top w:w="70" w:type="dxa"/>
              <w:left w:w="90" w:type="dxa"/>
              <w:bottom w:w="70" w:type="dxa"/>
              <w:right w:w="90" w:type="dxa"/>
            </w:tcMar>
          </w:tcPr>
          <w:p w14:paraId="2220E9D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定量指标按正文阈值；定性指标依据功能完整性、证据充分性、适用边界和工程合理性评分；专家不少于5名，并记录分歧复核。</w:t>
            </w:r>
          </w:p>
        </w:tc>
        <w:tc>
          <w:tcPr>
            <w:tcW w:w="1639" w:type="dxa"/>
            <w:tcMar>
              <w:top w:w="70" w:type="dxa"/>
              <w:left w:w="90" w:type="dxa"/>
              <w:bottom w:w="70" w:type="dxa"/>
              <w:right w:w="90" w:type="dxa"/>
            </w:tcMar>
          </w:tcPr>
          <w:p w14:paraId="63B6B38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记录二级指标证据、专家组成、评分表、独立意见、分歧处理和模块得分。</w:t>
            </w:r>
          </w:p>
        </w:tc>
      </w:tr>
      <w:tr w14:paraId="651B3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2F75D96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模块权重与等级判定（通用规则）</w:t>
            </w:r>
          </w:p>
        </w:tc>
        <w:tc>
          <w:tcPr>
            <w:tcW w:w="1450" w:type="dxa"/>
            <w:tcMar>
              <w:top w:w="70" w:type="dxa"/>
              <w:left w:w="90" w:type="dxa"/>
              <w:bottom w:w="70" w:type="dxa"/>
              <w:right w:w="90" w:type="dxa"/>
            </w:tcMar>
          </w:tcPr>
          <w:p w14:paraId="5722406C">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体现五类专业能力在综合评价中的相对作用。</w:t>
            </w:r>
          </w:p>
        </w:tc>
        <w:tc>
          <w:tcPr>
            <w:tcW w:w="1950" w:type="dxa"/>
            <w:tcMar>
              <w:top w:w="70" w:type="dxa"/>
              <w:left w:w="90" w:type="dxa"/>
              <w:bottom w:w="70" w:type="dxa"/>
              <w:right w:w="90" w:type="dxa"/>
            </w:tcMar>
          </w:tcPr>
          <w:p w14:paraId="580E60AD">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按第6.5条推荐权重计算；采用调整权重时，说明理由、应用场景和适用条件。</w:t>
            </w:r>
          </w:p>
        </w:tc>
        <w:tc>
          <w:tcPr>
            <w:tcW w:w="1950" w:type="dxa"/>
            <w:tcMar>
              <w:top w:w="70" w:type="dxa"/>
              <w:left w:w="90" w:type="dxa"/>
              <w:bottom w:w="70" w:type="dxa"/>
              <w:right w:w="90" w:type="dxa"/>
            </w:tcMar>
          </w:tcPr>
          <w:p w14:paraId="3A9FA6D6">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推荐权重为30%、25%、10%、20%和15%；权重调整不改变证据核查和模块低分约束。</w:t>
            </w:r>
          </w:p>
        </w:tc>
        <w:tc>
          <w:tcPr>
            <w:tcW w:w="1639" w:type="dxa"/>
            <w:tcMar>
              <w:top w:w="70" w:type="dxa"/>
              <w:left w:w="90" w:type="dxa"/>
              <w:bottom w:w="70" w:type="dxa"/>
              <w:right w:w="90" w:type="dxa"/>
            </w:tcMar>
          </w:tcPr>
          <w:p w14:paraId="19D03F5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记录采用的权重、应用场景、模块得分、综合得分和调整理由。</w:t>
            </w:r>
          </w:p>
        </w:tc>
      </w:tr>
      <w:tr w14:paraId="7503C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850" w:type="dxa"/>
            <w:tcMar>
              <w:top w:w="70" w:type="dxa"/>
              <w:left w:w="90" w:type="dxa"/>
              <w:bottom w:w="70" w:type="dxa"/>
              <w:right w:w="90" w:type="dxa"/>
            </w:tcMar>
          </w:tcPr>
          <w:p w14:paraId="5F2D9D7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数据安全与版本追溯、评估报告（通用规则）</w:t>
            </w:r>
          </w:p>
        </w:tc>
        <w:tc>
          <w:tcPr>
            <w:tcW w:w="1450" w:type="dxa"/>
            <w:tcMar>
              <w:top w:w="70" w:type="dxa"/>
              <w:left w:w="90" w:type="dxa"/>
              <w:bottom w:w="70" w:type="dxa"/>
              <w:right w:w="90" w:type="dxa"/>
            </w:tcMar>
          </w:tcPr>
          <w:p w14:paraId="73FDE31F">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保证数据传输和存储符合适用要求，并使评价结论与软件版本、配置、模型、数据和场景相对应。</w:t>
            </w:r>
          </w:p>
        </w:tc>
        <w:tc>
          <w:tcPr>
            <w:tcW w:w="1950" w:type="dxa"/>
            <w:tcMar>
              <w:top w:w="70" w:type="dxa"/>
              <w:left w:w="90" w:type="dxa"/>
              <w:bottom w:w="70" w:type="dxa"/>
              <w:right w:w="90" w:type="dxa"/>
            </w:tcMar>
          </w:tcPr>
          <w:p w14:paraId="6DFF0BC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按第4.6条核查数据传输与存储以及敏感信息脱敏或加密情况；其他数据治理要求按适用法律法规或评价机构管理程序确定。发生重大变更时重新确认对象和证据。</w:t>
            </w:r>
          </w:p>
        </w:tc>
        <w:tc>
          <w:tcPr>
            <w:tcW w:w="1950" w:type="dxa"/>
            <w:tcMar>
              <w:top w:w="70" w:type="dxa"/>
              <w:left w:w="90" w:type="dxa"/>
              <w:bottom w:w="70" w:type="dxa"/>
              <w:right w:w="90" w:type="dxa"/>
            </w:tcMar>
          </w:tcPr>
          <w:p w14:paraId="6C72CFBD">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数据安全作为支撑性要求记录判定结果，不替代专业能力评分；版本变更后的复核按本编制说明第7.2节、第8.4节提出的实施建议执行，需要重新评定等级的按标准正文第6章执行。</w:t>
            </w:r>
          </w:p>
        </w:tc>
        <w:tc>
          <w:tcPr>
            <w:tcW w:w="1639" w:type="dxa"/>
            <w:tcMar>
              <w:top w:w="70" w:type="dxa"/>
              <w:left w:w="90" w:type="dxa"/>
              <w:bottom w:w="70" w:type="dxa"/>
              <w:right w:w="90" w:type="dxa"/>
            </w:tcMar>
          </w:tcPr>
          <w:p w14:paraId="0B9883C5">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记录数据传输、存储、脱敏或加密措施、版本、配置、模型、场景、证据、得分、等级、限制条件和复评记录。</w:t>
            </w:r>
          </w:p>
        </w:tc>
      </w:tr>
    </w:tbl>
    <w:p w14:paraId="7BD12547">
      <w:pPr>
        <w:pStyle w:val="3"/>
        <w:spacing w:before="200" w:after="80" w:line="360" w:lineRule="auto"/>
        <w:rPr>
          <w:rFonts w:hint="eastAsia" w:ascii="黑体" w:hAnsi="黑体" w:eastAsia="黑体" w:cs="黑体"/>
          <w:b w:val="0"/>
          <w:bCs w:val="0"/>
          <w:sz w:val="21"/>
          <w:szCs w:val="21"/>
          <w:lang w:eastAsia="zh-CN"/>
        </w:rPr>
      </w:pPr>
      <w:bookmarkStart w:id="19" w:name="_Toc237075107"/>
      <w:r>
        <w:rPr>
          <w:rFonts w:hint="eastAsia" w:ascii="黑体" w:hAnsi="黑体" w:eastAsia="黑体" w:cs="黑体"/>
          <w:b w:val="0"/>
          <w:bCs w:val="0"/>
          <w:sz w:val="21"/>
          <w:szCs w:val="21"/>
          <w:lang w:eastAsia="zh-CN"/>
        </w:rPr>
        <w:t>5  与相关标准的关系及国内外对比</w:t>
      </w:r>
      <w:bookmarkEnd w:id="19"/>
    </w:p>
    <w:p w14:paraId="219004BD">
      <w:pPr>
        <w:pStyle w:val="4"/>
        <w:spacing w:before="120" w:line="360" w:lineRule="auto"/>
        <w:rPr>
          <w:rFonts w:hint="eastAsia" w:ascii="黑体" w:hAnsi="黑体" w:eastAsia="黑体" w:cs="黑体"/>
          <w:b w:val="0"/>
          <w:bCs w:val="0"/>
          <w:sz w:val="21"/>
          <w:szCs w:val="21"/>
          <w:lang w:eastAsia="zh-CN"/>
        </w:rPr>
      </w:pPr>
      <w:bookmarkStart w:id="20" w:name="_Toc237075108"/>
      <w:r>
        <w:rPr>
          <w:rFonts w:hint="eastAsia" w:ascii="黑体" w:hAnsi="黑体" w:eastAsia="黑体" w:cs="黑体"/>
          <w:b w:val="0"/>
          <w:bCs w:val="0"/>
          <w:sz w:val="21"/>
          <w:szCs w:val="21"/>
          <w:lang w:eastAsia="zh-CN"/>
        </w:rPr>
        <w:t>5.1  与</w:t>
      </w:r>
      <w:r>
        <w:rPr>
          <w:rFonts w:hint="default" w:ascii="Times New Roman" w:hAnsi="Times New Roman" w:eastAsia="黑体" w:cs="Times New Roman"/>
          <w:b w:val="0"/>
          <w:bCs w:val="0"/>
          <w:sz w:val="21"/>
          <w:szCs w:val="21"/>
          <w:lang w:eastAsia="zh-CN"/>
        </w:rPr>
        <w:t>GB/T 47025—2026</w:t>
      </w:r>
      <w:r>
        <w:rPr>
          <w:rFonts w:hint="eastAsia" w:ascii="黑体" w:hAnsi="黑体" w:eastAsia="黑体" w:cs="黑体"/>
          <w:b w:val="0"/>
          <w:bCs w:val="0"/>
          <w:sz w:val="21"/>
          <w:szCs w:val="21"/>
          <w:lang w:eastAsia="zh-CN"/>
        </w:rPr>
        <w:t>的衔接</w:t>
      </w:r>
      <w:bookmarkEnd w:id="20"/>
    </w:p>
    <w:p w14:paraId="2D128886">
      <w:pPr>
        <w:spacing w:line="360" w:lineRule="auto"/>
        <w:jc w:val="both"/>
        <w:rPr>
          <w:rFonts w:hint="eastAsia" w:ascii="宋体" w:hAnsi="宋体" w:eastAsia="宋体" w:cs="宋体"/>
          <w:sz w:val="21"/>
          <w:szCs w:val="21"/>
          <w:lang w:eastAsia="zh-CN"/>
        </w:rPr>
      </w:pP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附录A是本标准处理仿真试验可信度的直接依据。其内容可归纳为建模与仿真管理、建模与仿真分析、建模与仿真验证、建模与仿真确认及不确定性处理、文件和追溯要求。关键性评估用于确定适用要求、验证内容及严格程度。本标准第6.4按这五类内容设置证据核查条款，第6.5把适用证据完整性作为等级判定前提。</w:t>
      </w:r>
    </w:p>
    <w:p w14:paraId="3B0C498F">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本标准在</w:t>
      </w: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附录A可信度证据要求的基础上，补充交通仿真测试软件五类专业能力模块、运行鲁棒性和数据安全支撑要求、数据对比等评价方法以及模块得分和等级表达。两类评价共同服务于特定软件版本、工具链配置、模型、数据条件和预定应用场景。</w:t>
      </w:r>
    </w:p>
    <w:p w14:paraId="616EB45C">
      <w:pPr>
        <w:pStyle w:val="4"/>
        <w:spacing w:before="120" w:line="360" w:lineRule="auto"/>
        <w:rPr>
          <w:rFonts w:hint="eastAsia" w:ascii="黑体" w:hAnsi="黑体" w:eastAsia="黑体" w:cs="黑体"/>
          <w:b w:val="0"/>
          <w:bCs w:val="0"/>
          <w:sz w:val="21"/>
          <w:szCs w:val="21"/>
          <w:lang w:eastAsia="zh-CN"/>
        </w:rPr>
      </w:pPr>
      <w:bookmarkStart w:id="21" w:name="_Toc237075109"/>
      <w:r>
        <w:rPr>
          <w:rFonts w:hint="eastAsia" w:ascii="黑体" w:hAnsi="黑体" w:eastAsia="黑体" w:cs="黑体"/>
          <w:b w:val="0"/>
          <w:bCs w:val="0"/>
          <w:sz w:val="21"/>
          <w:szCs w:val="21"/>
          <w:lang w:eastAsia="zh-CN"/>
        </w:rPr>
        <w:t>5.2  其他引用文件的作用</w:t>
      </w:r>
      <w:bookmarkEnd w:id="21"/>
    </w:p>
    <w:p w14:paraId="6F0A1D36">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本标准引用</w:t>
      </w:r>
      <w:r>
        <w:rPr>
          <w:rFonts w:hint="default" w:ascii="Times New Roman" w:hAnsi="Times New Roman" w:eastAsia="宋体" w:cs="Times New Roman"/>
          <w:sz w:val="21"/>
          <w:szCs w:val="21"/>
          <w:lang w:eastAsia="zh-CN"/>
        </w:rPr>
        <w:t>GB/T 40429—2021、GB/T 44373—2024、GB/T 45312—2025、GB/T 46896—2025、GB 5768</w:t>
      </w:r>
      <w:r>
        <w:rPr>
          <w:rFonts w:hint="eastAsia" w:ascii="宋体" w:hAnsi="宋体" w:eastAsia="宋体" w:cs="宋体"/>
          <w:sz w:val="21"/>
          <w:szCs w:val="21"/>
          <w:lang w:eastAsia="zh-CN"/>
        </w:rPr>
        <w:t>系列和</w:t>
      </w:r>
      <w:r>
        <w:rPr>
          <w:rFonts w:hint="default" w:ascii="Times New Roman" w:hAnsi="Times New Roman" w:eastAsia="宋体" w:cs="Times New Roman"/>
          <w:sz w:val="21"/>
          <w:szCs w:val="21"/>
          <w:lang w:eastAsia="zh-CN"/>
        </w:rPr>
        <w:t>GB/T 47126—2026</w:t>
      </w:r>
      <w:r>
        <w:rPr>
          <w:rFonts w:hint="eastAsia" w:ascii="宋体" w:hAnsi="宋体" w:eastAsia="宋体" w:cs="宋体"/>
          <w:sz w:val="21"/>
          <w:szCs w:val="21"/>
          <w:lang w:eastAsia="zh-CN"/>
        </w:rPr>
        <w:t>，分别用于驾驶自动化分级、术语、设计运行条件、测试场景、道路交通标志标线以及传感器与数据融合单元之间的数据通信逻辑接口。</w:t>
      </w:r>
      <w:r>
        <w:rPr>
          <w:rFonts w:hint="default" w:ascii="Times New Roman" w:hAnsi="Times New Roman" w:eastAsia="宋体" w:cs="Times New Roman"/>
          <w:sz w:val="21"/>
          <w:szCs w:val="21"/>
          <w:lang w:eastAsia="zh-CN"/>
        </w:rPr>
        <w:t>ISO 23150:2023</w:t>
      </w:r>
      <w:r>
        <w:rPr>
          <w:rFonts w:hint="eastAsia" w:ascii="宋体" w:hAnsi="宋体" w:eastAsia="宋体" w:cs="宋体"/>
          <w:sz w:val="21"/>
          <w:szCs w:val="21"/>
          <w:lang w:eastAsia="zh-CN"/>
        </w:rPr>
        <w:t>已于2026年6月29日撤回，相关接口技术可参考已发布的2026年分册；本标准的现行接口依据采用</w:t>
      </w:r>
      <w:r>
        <w:rPr>
          <w:rFonts w:hint="default" w:ascii="Times New Roman" w:hAnsi="Times New Roman" w:eastAsia="宋体" w:cs="Times New Roman"/>
          <w:sz w:val="21"/>
          <w:szCs w:val="21"/>
          <w:lang w:eastAsia="zh-CN"/>
        </w:rPr>
        <w:t>GB/T 47126—2026</w:t>
      </w:r>
      <w:r>
        <w:rPr>
          <w:rFonts w:hint="eastAsia" w:ascii="宋体" w:hAnsi="宋体" w:eastAsia="宋体" w:cs="宋体"/>
          <w:sz w:val="21"/>
          <w:szCs w:val="21"/>
          <w:lang w:eastAsia="zh-CN"/>
        </w:rPr>
        <w:t>。</w:t>
      </w:r>
    </w:p>
    <w:p w14:paraId="720FA11E">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本送审稿的规范性引用文件固定采用</w:t>
      </w:r>
      <w:r>
        <w:rPr>
          <w:rFonts w:hint="default" w:ascii="Times New Roman" w:hAnsi="Times New Roman" w:eastAsia="宋体" w:cs="Times New Roman"/>
          <w:sz w:val="21"/>
          <w:szCs w:val="21"/>
          <w:lang w:eastAsia="zh-CN"/>
        </w:rPr>
        <w:t>ASAM OpenDRIVE V1.7.0</w:t>
      </w:r>
      <w:r>
        <w:rPr>
          <w:rFonts w:hint="eastAsia" w:ascii="宋体" w:hAnsi="宋体" w:eastAsia="宋体" w:cs="宋体"/>
          <w:sz w:val="21"/>
          <w:szCs w:val="21"/>
          <w:lang w:eastAsia="zh-CN"/>
        </w:rPr>
        <w:t>和</w:t>
      </w:r>
      <w:r>
        <w:rPr>
          <w:rFonts w:hint="default" w:ascii="Times New Roman" w:hAnsi="Times New Roman" w:eastAsia="宋体" w:cs="Times New Roman"/>
          <w:sz w:val="21"/>
          <w:szCs w:val="21"/>
          <w:lang w:eastAsia="zh-CN"/>
        </w:rPr>
        <w:t>ASAM OpenSCENARIO XML V1.2.0</w:t>
      </w:r>
      <w:r>
        <w:rPr>
          <w:rFonts w:hint="eastAsia" w:ascii="宋体" w:hAnsi="宋体" w:eastAsia="宋体" w:cs="宋体"/>
          <w:sz w:val="21"/>
          <w:szCs w:val="21"/>
          <w:lang w:eastAsia="zh-CN"/>
        </w:rPr>
        <w:t>。表4所列官网现行版本仅用于现状比较，不构成对正文规范性引用版本的变更；评价实施时应在记录中注明实际使用的版本。</w:t>
      </w:r>
    </w:p>
    <w:p w14:paraId="5CA4E984">
      <w:pPr>
        <w:spacing w:line="360" w:lineRule="auto"/>
        <w:ind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表4从文件类型、版本状态、评价对象、可比性和与本标准的关系等方面比较国内外相关文件，用于说明各文件提供的技术基础以及本标准在交通仿真测试软件专业能力评价中的定位。</w:t>
      </w:r>
    </w:p>
    <w:p w14:paraId="6EE0254C">
      <w:pPr>
        <w:spacing w:line="240" w:lineRule="auto"/>
        <w:ind w:firstLine="0"/>
        <w:jc w:val="center"/>
        <w:rPr>
          <w:rFonts w:hint="eastAsia" w:ascii="黑体" w:hAnsi="黑体" w:eastAsia="黑体" w:cs="黑体"/>
          <w:b w:val="0"/>
          <w:bCs w:val="0"/>
          <w:sz w:val="21"/>
          <w:szCs w:val="21"/>
          <w:lang w:eastAsia="zh-CN"/>
        </w:rPr>
      </w:pPr>
    </w:p>
    <w:p w14:paraId="6B423AB0">
      <w:pPr>
        <w:spacing w:line="240" w:lineRule="auto"/>
        <w:ind w:firstLine="0"/>
        <w:jc w:val="center"/>
        <w:rPr>
          <w:rFonts w:hint="eastAsia" w:ascii="黑体" w:hAnsi="黑体" w:eastAsia="黑体" w:cs="黑体"/>
          <w:b w:val="0"/>
          <w:bCs w:val="0"/>
          <w:sz w:val="21"/>
          <w:szCs w:val="21"/>
          <w:lang w:eastAsia="zh-CN"/>
        </w:rPr>
      </w:pPr>
    </w:p>
    <w:p w14:paraId="4F099FF0">
      <w:pPr>
        <w:spacing w:line="240" w:lineRule="auto"/>
        <w:ind w:firstLine="0"/>
        <w:jc w:val="center"/>
        <w:rPr>
          <w:rFonts w:hint="eastAsia" w:ascii="黑体" w:hAnsi="黑体" w:eastAsia="黑体" w:cs="黑体"/>
          <w:b w:val="0"/>
          <w:bCs w:val="0"/>
          <w:sz w:val="21"/>
          <w:szCs w:val="21"/>
          <w:lang w:eastAsia="zh-CN"/>
        </w:rPr>
      </w:pPr>
    </w:p>
    <w:p w14:paraId="607AC6FD">
      <w:pPr>
        <w:spacing w:line="240" w:lineRule="auto"/>
        <w:ind w:firstLine="0"/>
        <w:jc w:val="center"/>
        <w:rPr>
          <w:rFonts w:hint="eastAsia" w:ascii="黑体" w:hAnsi="黑体" w:eastAsia="黑体" w:cs="黑体"/>
          <w:b w:val="0"/>
          <w:bCs w:val="0"/>
          <w:sz w:val="21"/>
          <w:szCs w:val="21"/>
          <w:lang w:eastAsia="zh-CN"/>
        </w:rPr>
      </w:pPr>
    </w:p>
    <w:p w14:paraId="7735C946">
      <w:pPr>
        <w:spacing w:line="240" w:lineRule="auto"/>
        <w:ind w:firstLine="0"/>
        <w:jc w:val="center"/>
        <w:rPr>
          <w:rFonts w:hint="eastAsia" w:ascii="黑体" w:hAnsi="黑体" w:eastAsia="黑体" w:cs="黑体"/>
          <w:b w:val="0"/>
          <w:bCs w:val="0"/>
          <w:sz w:val="21"/>
          <w:szCs w:val="21"/>
          <w:lang w:eastAsia="zh-CN"/>
        </w:rPr>
      </w:pPr>
    </w:p>
    <w:p w14:paraId="3D9F6344">
      <w:pPr>
        <w:spacing w:line="240" w:lineRule="auto"/>
        <w:ind w:firstLine="0"/>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eastAsia="zh-CN"/>
        </w:rPr>
        <w:t>表 4  国内外相关文件比较及本标准关系</w:t>
      </w:r>
    </w:p>
    <w:tbl>
      <w:tblPr>
        <w:tblStyle w:val="35"/>
        <w:tblW w:w="90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00"/>
        <w:gridCol w:w="961"/>
        <w:gridCol w:w="1142"/>
        <w:gridCol w:w="2220"/>
        <w:gridCol w:w="912"/>
        <w:gridCol w:w="1685"/>
      </w:tblGrid>
      <w:tr w14:paraId="629E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2100" w:type="dxa"/>
            <w:tcMar>
              <w:top w:w="70" w:type="dxa"/>
              <w:left w:w="90" w:type="dxa"/>
              <w:bottom w:w="70" w:type="dxa"/>
              <w:right w:w="90" w:type="dxa"/>
            </w:tcMar>
            <w:vAlign w:val="center"/>
          </w:tcPr>
          <w:p w14:paraId="26AFFA47">
            <w:pPr>
              <w:spacing w:line="240" w:lineRule="auto"/>
              <w:ind w:firstLine="0"/>
              <w:jc w:val="center"/>
              <w:rPr>
                <w:rFonts w:hint="eastAsia" w:ascii="宋体" w:hAnsi="宋体" w:eastAsia="宋体" w:cs="宋体"/>
                <w:sz w:val="18"/>
                <w:szCs w:val="18"/>
              </w:rPr>
            </w:pPr>
            <w:r>
              <w:rPr>
                <w:rFonts w:hint="eastAsia" w:ascii="宋体" w:hAnsi="宋体" w:eastAsia="宋体" w:cs="宋体"/>
                <w:b/>
                <w:sz w:val="18"/>
                <w:szCs w:val="18"/>
              </w:rPr>
              <w:t>文件及全称</w:t>
            </w:r>
          </w:p>
        </w:tc>
        <w:tc>
          <w:tcPr>
            <w:tcW w:w="961" w:type="dxa"/>
            <w:tcMar>
              <w:top w:w="70" w:type="dxa"/>
              <w:left w:w="90" w:type="dxa"/>
              <w:bottom w:w="70" w:type="dxa"/>
              <w:right w:w="90" w:type="dxa"/>
            </w:tcMar>
            <w:vAlign w:val="center"/>
          </w:tcPr>
          <w:p w14:paraId="48212FB6">
            <w:pPr>
              <w:spacing w:line="240" w:lineRule="auto"/>
              <w:ind w:firstLine="0"/>
              <w:jc w:val="center"/>
              <w:rPr>
                <w:rFonts w:hint="eastAsia" w:ascii="宋体" w:hAnsi="宋体" w:eastAsia="宋体" w:cs="宋体"/>
                <w:sz w:val="18"/>
                <w:szCs w:val="18"/>
              </w:rPr>
            </w:pPr>
            <w:r>
              <w:rPr>
                <w:rFonts w:hint="eastAsia" w:ascii="宋体" w:hAnsi="宋体" w:eastAsia="宋体" w:cs="宋体"/>
                <w:b/>
                <w:sz w:val="18"/>
                <w:szCs w:val="18"/>
              </w:rPr>
              <w:t>文件类型</w:t>
            </w:r>
          </w:p>
        </w:tc>
        <w:tc>
          <w:tcPr>
            <w:tcW w:w="1142" w:type="dxa"/>
            <w:tcMar>
              <w:top w:w="70" w:type="dxa"/>
              <w:left w:w="90" w:type="dxa"/>
              <w:bottom w:w="70" w:type="dxa"/>
              <w:right w:w="90" w:type="dxa"/>
            </w:tcMar>
            <w:vAlign w:val="center"/>
          </w:tcPr>
          <w:p w14:paraId="3C30429E">
            <w:pPr>
              <w:spacing w:line="240" w:lineRule="auto"/>
              <w:ind w:firstLine="0"/>
              <w:jc w:val="center"/>
              <w:rPr>
                <w:rFonts w:hint="eastAsia" w:ascii="宋体" w:hAnsi="宋体" w:eastAsia="宋体" w:cs="宋体"/>
                <w:sz w:val="18"/>
                <w:szCs w:val="18"/>
              </w:rPr>
            </w:pPr>
            <w:r>
              <w:rPr>
                <w:rFonts w:hint="eastAsia" w:ascii="宋体" w:hAnsi="宋体" w:eastAsia="宋体" w:cs="宋体"/>
                <w:b/>
                <w:sz w:val="18"/>
                <w:szCs w:val="18"/>
              </w:rPr>
              <w:t>状态/版本</w:t>
            </w:r>
          </w:p>
        </w:tc>
        <w:tc>
          <w:tcPr>
            <w:tcW w:w="2220" w:type="dxa"/>
            <w:tcMar>
              <w:top w:w="70" w:type="dxa"/>
              <w:left w:w="90" w:type="dxa"/>
              <w:bottom w:w="70" w:type="dxa"/>
              <w:right w:w="90" w:type="dxa"/>
            </w:tcMar>
            <w:vAlign w:val="center"/>
          </w:tcPr>
          <w:p w14:paraId="227877A6">
            <w:pPr>
              <w:spacing w:line="240" w:lineRule="auto"/>
              <w:ind w:firstLine="0"/>
              <w:jc w:val="center"/>
              <w:rPr>
                <w:rFonts w:hint="eastAsia" w:ascii="宋体" w:hAnsi="宋体" w:eastAsia="宋体" w:cs="宋体"/>
                <w:sz w:val="18"/>
                <w:szCs w:val="18"/>
              </w:rPr>
            </w:pPr>
            <w:r>
              <w:rPr>
                <w:rFonts w:hint="eastAsia" w:ascii="宋体" w:hAnsi="宋体" w:eastAsia="宋体" w:cs="宋体"/>
                <w:b/>
                <w:sz w:val="18"/>
                <w:szCs w:val="18"/>
              </w:rPr>
              <w:t>对象及主要内容</w:t>
            </w:r>
          </w:p>
        </w:tc>
        <w:tc>
          <w:tcPr>
            <w:tcW w:w="912" w:type="dxa"/>
            <w:tcMar>
              <w:top w:w="70" w:type="dxa"/>
              <w:left w:w="90" w:type="dxa"/>
              <w:bottom w:w="70" w:type="dxa"/>
              <w:right w:w="90" w:type="dxa"/>
            </w:tcMar>
            <w:vAlign w:val="center"/>
          </w:tcPr>
          <w:p w14:paraId="0292E364">
            <w:pPr>
              <w:spacing w:line="240" w:lineRule="auto"/>
              <w:ind w:firstLine="0"/>
              <w:jc w:val="center"/>
              <w:rPr>
                <w:rFonts w:hint="eastAsia" w:ascii="宋体" w:hAnsi="宋体" w:eastAsia="宋体" w:cs="宋体"/>
                <w:sz w:val="18"/>
                <w:szCs w:val="18"/>
              </w:rPr>
            </w:pPr>
            <w:r>
              <w:rPr>
                <w:rFonts w:hint="eastAsia" w:ascii="宋体" w:hAnsi="宋体" w:eastAsia="宋体" w:cs="宋体"/>
                <w:b/>
                <w:sz w:val="18"/>
                <w:szCs w:val="18"/>
              </w:rPr>
              <w:t>可比性</w:t>
            </w:r>
          </w:p>
        </w:tc>
        <w:tc>
          <w:tcPr>
            <w:tcW w:w="1685" w:type="dxa"/>
            <w:tcMar>
              <w:top w:w="70" w:type="dxa"/>
              <w:left w:w="90" w:type="dxa"/>
              <w:bottom w:w="70" w:type="dxa"/>
              <w:right w:w="90" w:type="dxa"/>
            </w:tcMar>
            <w:vAlign w:val="center"/>
          </w:tcPr>
          <w:p w14:paraId="582A1CC3">
            <w:pPr>
              <w:spacing w:line="240" w:lineRule="auto"/>
              <w:ind w:firstLine="0"/>
              <w:jc w:val="center"/>
              <w:rPr>
                <w:rFonts w:hint="eastAsia" w:ascii="宋体" w:hAnsi="宋体" w:eastAsia="宋体" w:cs="宋体"/>
                <w:sz w:val="18"/>
                <w:szCs w:val="18"/>
              </w:rPr>
            </w:pPr>
            <w:r>
              <w:rPr>
                <w:rFonts w:hint="eastAsia" w:ascii="宋体" w:hAnsi="宋体" w:eastAsia="宋体" w:cs="宋体"/>
                <w:b/>
                <w:sz w:val="18"/>
                <w:szCs w:val="18"/>
              </w:rPr>
              <w:t>与本标准关系</w:t>
            </w:r>
          </w:p>
        </w:tc>
      </w:tr>
      <w:tr w14:paraId="40CBF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6E69C445">
            <w:pPr>
              <w:spacing w:line="240" w:lineRule="auto"/>
              <w:ind w:firstLine="0"/>
              <w:rPr>
                <w:rFonts w:hint="eastAsia" w:ascii="宋体" w:hAnsi="宋体" w:eastAsia="宋体" w:cs="宋体"/>
                <w:sz w:val="18"/>
                <w:szCs w:val="18"/>
                <w:lang w:eastAsia="zh-CN"/>
              </w:rPr>
            </w:pPr>
            <w:r>
              <w:rPr>
                <w:rFonts w:hint="default" w:ascii="Times New Roman" w:hAnsi="Times New Roman" w:eastAsia="宋体" w:cs="Times New Roman"/>
                <w:sz w:val="18"/>
                <w:szCs w:val="18"/>
                <w:lang w:eastAsia="zh-CN"/>
              </w:rPr>
              <w:t>GB/T 47025—2026</w:t>
            </w:r>
            <w:r>
              <w:rPr>
                <w:rFonts w:hint="eastAsia" w:ascii="宋体" w:hAnsi="宋体" w:eastAsia="宋体" w:cs="宋体"/>
                <w:sz w:val="18"/>
                <w:szCs w:val="18"/>
                <w:lang w:eastAsia="zh-CN"/>
              </w:rPr>
              <w:t>《智能网联汽车 自动驾驶功能仿真试验方法及要求》附录A</w:t>
            </w:r>
          </w:p>
        </w:tc>
        <w:tc>
          <w:tcPr>
            <w:tcW w:w="961" w:type="dxa"/>
            <w:tcMar>
              <w:top w:w="70" w:type="dxa"/>
              <w:left w:w="90" w:type="dxa"/>
              <w:bottom w:w="70" w:type="dxa"/>
              <w:right w:w="90" w:type="dxa"/>
            </w:tcMar>
          </w:tcPr>
          <w:p w14:paraId="6A9B6ABF">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国家标准</w:t>
            </w:r>
          </w:p>
        </w:tc>
        <w:tc>
          <w:tcPr>
            <w:tcW w:w="1142" w:type="dxa"/>
            <w:tcMar>
              <w:top w:w="70" w:type="dxa"/>
              <w:left w:w="90" w:type="dxa"/>
              <w:bottom w:w="70" w:type="dxa"/>
              <w:right w:w="90" w:type="dxa"/>
            </w:tcMar>
          </w:tcPr>
          <w:p w14:paraId="675B1FF0">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现行；</w:t>
            </w:r>
            <w:r>
              <w:rPr>
                <w:rFonts w:hint="default" w:ascii="Times New Roman" w:hAnsi="Times New Roman" w:eastAsia="宋体" w:cs="Times New Roman"/>
                <w:sz w:val="18"/>
                <w:szCs w:val="18"/>
              </w:rPr>
              <w:t>2026-01-28</w:t>
            </w:r>
            <w:r>
              <w:rPr>
                <w:rFonts w:hint="eastAsia" w:ascii="宋体" w:hAnsi="宋体" w:eastAsia="宋体" w:cs="宋体"/>
                <w:sz w:val="18"/>
                <w:szCs w:val="18"/>
              </w:rPr>
              <w:t>发布并实施</w:t>
            </w:r>
          </w:p>
        </w:tc>
        <w:tc>
          <w:tcPr>
            <w:tcW w:w="2220" w:type="dxa"/>
            <w:tcMar>
              <w:top w:w="70" w:type="dxa"/>
              <w:left w:w="90" w:type="dxa"/>
              <w:bottom w:w="70" w:type="dxa"/>
              <w:right w:w="90" w:type="dxa"/>
            </w:tcMar>
          </w:tcPr>
          <w:p w14:paraId="2DE5326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仿真工具链及模型的管理、分析、验证、确认、不确定性、文件和追溯要求；未设置本标准式五模块等级</w:t>
            </w:r>
          </w:p>
        </w:tc>
        <w:tc>
          <w:tcPr>
            <w:tcW w:w="912" w:type="dxa"/>
            <w:tcMar>
              <w:top w:w="70" w:type="dxa"/>
              <w:left w:w="90" w:type="dxa"/>
              <w:bottom w:w="70" w:type="dxa"/>
              <w:right w:w="90" w:type="dxa"/>
            </w:tcMar>
          </w:tcPr>
          <w:p w14:paraId="4CCA4DD6">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直接衔接</w:t>
            </w:r>
          </w:p>
        </w:tc>
        <w:tc>
          <w:tcPr>
            <w:tcW w:w="1685" w:type="dxa"/>
            <w:tcMar>
              <w:top w:w="70" w:type="dxa"/>
              <w:left w:w="90" w:type="dxa"/>
              <w:bottom w:w="70" w:type="dxa"/>
              <w:right w:w="90" w:type="dxa"/>
            </w:tcMar>
          </w:tcPr>
          <w:p w14:paraId="0818F71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作为仿真试验可信度证据基础，与本标准专业能力评价配套使用</w:t>
            </w:r>
          </w:p>
        </w:tc>
      </w:tr>
      <w:tr w14:paraId="3E573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6C3D31DB">
            <w:pPr>
              <w:spacing w:line="240" w:lineRule="auto"/>
              <w:ind w:firstLine="0"/>
              <w:rPr>
                <w:rFonts w:hint="eastAsia" w:ascii="宋体" w:hAnsi="宋体" w:eastAsia="宋体" w:cs="宋体"/>
                <w:sz w:val="18"/>
                <w:szCs w:val="18"/>
                <w:lang w:eastAsia="zh-CN"/>
              </w:rPr>
            </w:pPr>
            <w:r>
              <w:rPr>
                <w:rFonts w:hint="default" w:ascii="Times New Roman" w:hAnsi="Times New Roman" w:eastAsia="宋体" w:cs="Times New Roman"/>
                <w:sz w:val="18"/>
                <w:szCs w:val="18"/>
                <w:lang w:eastAsia="zh-CN"/>
              </w:rPr>
              <w:t>T/CSFSIM 001—2025</w:t>
            </w:r>
            <w:r>
              <w:rPr>
                <w:rFonts w:hint="eastAsia" w:ascii="宋体" w:hAnsi="宋体" w:eastAsia="宋体" w:cs="宋体"/>
                <w:sz w:val="18"/>
                <w:szCs w:val="18"/>
                <w:lang w:eastAsia="zh-CN"/>
              </w:rPr>
              <w:t>《数字孪生系统 可信性测评方法》</w:t>
            </w:r>
          </w:p>
        </w:tc>
        <w:tc>
          <w:tcPr>
            <w:tcW w:w="961" w:type="dxa"/>
            <w:tcMar>
              <w:top w:w="70" w:type="dxa"/>
              <w:left w:w="90" w:type="dxa"/>
              <w:bottom w:w="70" w:type="dxa"/>
              <w:right w:w="90" w:type="dxa"/>
            </w:tcMar>
          </w:tcPr>
          <w:p w14:paraId="02AE7C99">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团体标准</w:t>
            </w:r>
          </w:p>
        </w:tc>
        <w:tc>
          <w:tcPr>
            <w:tcW w:w="1142" w:type="dxa"/>
            <w:tcMar>
              <w:top w:w="70" w:type="dxa"/>
              <w:left w:w="90" w:type="dxa"/>
              <w:bottom w:w="70" w:type="dxa"/>
              <w:right w:w="90" w:type="dxa"/>
            </w:tcMar>
          </w:tcPr>
          <w:p w14:paraId="7AEEAB8E">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现行；2025版</w:t>
            </w:r>
          </w:p>
        </w:tc>
        <w:tc>
          <w:tcPr>
            <w:tcW w:w="2220" w:type="dxa"/>
            <w:tcMar>
              <w:top w:w="70" w:type="dxa"/>
              <w:left w:w="90" w:type="dxa"/>
              <w:bottom w:w="70" w:type="dxa"/>
              <w:right w:w="90" w:type="dxa"/>
            </w:tcMar>
          </w:tcPr>
          <w:p w14:paraId="31386CB6">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数字孪生系统分级指标、测试和综合评估</w:t>
            </w:r>
          </w:p>
        </w:tc>
        <w:tc>
          <w:tcPr>
            <w:tcW w:w="912" w:type="dxa"/>
            <w:tcMar>
              <w:top w:w="70" w:type="dxa"/>
              <w:left w:w="90" w:type="dxa"/>
              <w:bottom w:w="70" w:type="dxa"/>
              <w:right w:w="90" w:type="dxa"/>
            </w:tcMar>
          </w:tcPr>
          <w:p w14:paraId="5CAF51EA">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部分可比</w:t>
            </w:r>
          </w:p>
        </w:tc>
        <w:tc>
          <w:tcPr>
            <w:tcW w:w="1685" w:type="dxa"/>
            <w:tcMar>
              <w:top w:w="70" w:type="dxa"/>
              <w:left w:w="90" w:type="dxa"/>
              <w:bottom w:w="70" w:type="dxa"/>
              <w:right w:w="90" w:type="dxa"/>
            </w:tcMar>
          </w:tcPr>
          <w:p w14:paraId="4CE6690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借鉴测评结构；对象不同，阈值和权重不直接移用</w:t>
            </w:r>
          </w:p>
        </w:tc>
      </w:tr>
      <w:tr w14:paraId="4191A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326E7437">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ISO 34502:2022 Road vehicles—Test scenarios for automated driving systems—Scenario based safety evaluation framework</w:t>
            </w:r>
          </w:p>
        </w:tc>
        <w:tc>
          <w:tcPr>
            <w:tcW w:w="961" w:type="dxa"/>
            <w:tcMar>
              <w:top w:w="70" w:type="dxa"/>
              <w:left w:w="90" w:type="dxa"/>
              <w:bottom w:w="70" w:type="dxa"/>
              <w:right w:w="90" w:type="dxa"/>
            </w:tcMar>
          </w:tcPr>
          <w:p w14:paraId="526D3945">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国际标准</w:t>
            </w:r>
          </w:p>
        </w:tc>
        <w:tc>
          <w:tcPr>
            <w:tcW w:w="1142" w:type="dxa"/>
            <w:tcMar>
              <w:top w:w="70" w:type="dxa"/>
              <w:left w:w="90" w:type="dxa"/>
              <w:bottom w:w="70" w:type="dxa"/>
              <w:right w:w="90" w:type="dxa"/>
            </w:tcMar>
          </w:tcPr>
          <w:p w14:paraId="433AFD5C">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Published；2022-11</w:t>
            </w:r>
          </w:p>
        </w:tc>
        <w:tc>
          <w:tcPr>
            <w:tcW w:w="2220" w:type="dxa"/>
            <w:tcMar>
              <w:top w:w="70" w:type="dxa"/>
              <w:left w:w="90" w:type="dxa"/>
              <w:bottom w:w="70" w:type="dxa"/>
              <w:right w:w="90" w:type="dxa"/>
            </w:tcMar>
          </w:tcPr>
          <w:p w14:paraId="49167E79">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自动驾驶系统基于场景的安全评价框架</w:t>
            </w:r>
          </w:p>
        </w:tc>
        <w:tc>
          <w:tcPr>
            <w:tcW w:w="912" w:type="dxa"/>
            <w:tcMar>
              <w:top w:w="70" w:type="dxa"/>
              <w:left w:w="90" w:type="dxa"/>
              <w:bottom w:w="70" w:type="dxa"/>
              <w:right w:w="90" w:type="dxa"/>
            </w:tcMar>
          </w:tcPr>
          <w:p w14:paraId="7EFECFCE">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部分可比</w:t>
            </w:r>
          </w:p>
        </w:tc>
        <w:tc>
          <w:tcPr>
            <w:tcW w:w="1685" w:type="dxa"/>
            <w:tcMar>
              <w:top w:w="70" w:type="dxa"/>
              <w:left w:w="90" w:type="dxa"/>
              <w:bottom w:w="70" w:type="dxa"/>
              <w:right w:w="90" w:type="dxa"/>
            </w:tcMar>
          </w:tcPr>
          <w:p w14:paraId="1077089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提供场景安全评价框架；不提供本标准的可信度评分</w:t>
            </w:r>
          </w:p>
        </w:tc>
      </w:tr>
      <w:tr w14:paraId="773C8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0C73DA60">
            <w:pPr>
              <w:spacing w:line="240" w:lineRule="auto"/>
              <w:ind w:firstLine="0"/>
              <w:rPr>
                <w:rFonts w:hint="eastAsia" w:ascii="宋体" w:hAnsi="宋体" w:eastAsia="宋体" w:cs="宋体"/>
                <w:sz w:val="18"/>
                <w:szCs w:val="18"/>
                <w:lang w:eastAsia="zh-CN"/>
              </w:rPr>
            </w:pPr>
            <w:r>
              <w:rPr>
                <w:rFonts w:hint="default" w:ascii="Times New Roman" w:hAnsi="Times New Roman" w:eastAsia="宋体" w:cs="Times New Roman"/>
                <w:sz w:val="18"/>
                <w:szCs w:val="18"/>
                <w:lang w:eastAsia="zh-CN"/>
              </w:rPr>
              <w:t>GB/T 46958—2025</w:t>
            </w:r>
            <w:r>
              <w:rPr>
                <w:rFonts w:hint="eastAsia" w:ascii="宋体" w:hAnsi="宋体" w:eastAsia="宋体" w:cs="宋体"/>
                <w:sz w:val="18"/>
                <w:szCs w:val="18"/>
                <w:lang w:eastAsia="zh-CN"/>
              </w:rPr>
              <w:t>《道路车辆 自动驾驶系统测试场景 基于场景的安全评估框架》</w:t>
            </w:r>
          </w:p>
        </w:tc>
        <w:tc>
          <w:tcPr>
            <w:tcW w:w="961" w:type="dxa"/>
            <w:tcMar>
              <w:top w:w="70" w:type="dxa"/>
              <w:left w:w="90" w:type="dxa"/>
              <w:bottom w:w="70" w:type="dxa"/>
              <w:right w:w="90" w:type="dxa"/>
            </w:tcMar>
          </w:tcPr>
          <w:p w14:paraId="538D5623">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国家标准</w:t>
            </w:r>
          </w:p>
        </w:tc>
        <w:tc>
          <w:tcPr>
            <w:tcW w:w="1142" w:type="dxa"/>
            <w:tcMar>
              <w:top w:w="70" w:type="dxa"/>
              <w:left w:w="90" w:type="dxa"/>
              <w:bottom w:w="70" w:type="dxa"/>
              <w:right w:w="90" w:type="dxa"/>
            </w:tcMar>
          </w:tcPr>
          <w:p w14:paraId="702E5E92">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现行；2026年实施</w:t>
            </w:r>
          </w:p>
        </w:tc>
        <w:tc>
          <w:tcPr>
            <w:tcW w:w="2220" w:type="dxa"/>
            <w:tcMar>
              <w:top w:w="70" w:type="dxa"/>
              <w:left w:w="90" w:type="dxa"/>
              <w:bottom w:w="70" w:type="dxa"/>
              <w:right w:w="90" w:type="dxa"/>
            </w:tcMar>
          </w:tcPr>
          <w:p w14:paraId="3DEEE96C">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自动驾驶系统场景安全评估</w:t>
            </w:r>
          </w:p>
        </w:tc>
        <w:tc>
          <w:tcPr>
            <w:tcW w:w="912" w:type="dxa"/>
            <w:tcMar>
              <w:top w:w="70" w:type="dxa"/>
              <w:left w:w="90" w:type="dxa"/>
              <w:bottom w:w="70" w:type="dxa"/>
              <w:right w:w="90" w:type="dxa"/>
            </w:tcMar>
          </w:tcPr>
          <w:p w14:paraId="117D9ABF">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部分可比</w:t>
            </w:r>
          </w:p>
        </w:tc>
        <w:tc>
          <w:tcPr>
            <w:tcW w:w="1685" w:type="dxa"/>
            <w:tcMar>
              <w:top w:w="70" w:type="dxa"/>
              <w:left w:w="90" w:type="dxa"/>
              <w:bottom w:w="70" w:type="dxa"/>
              <w:right w:w="90" w:type="dxa"/>
            </w:tcMar>
          </w:tcPr>
          <w:p w14:paraId="1AA641F1">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修改采用</w:t>
            </w:r>
            <w:r>
              <w:rPr>
                <w:rFonts w:hint="default" w:ascii="Times New Roman" w:hAnsi="Times New Roman" w:eastAsia="宋体" w:cs="Times New Roman"/>
                <w:sz w:val="18"/>
                <w:szCs w:val="18"/>
                <w:lang w:eastAsia="zh-CN"/>
              </w:rPr>
              <w:t>ISO 34502:2022</w:t>
            </w:r>
            <w:r>
              <w:rPr>
                <w:rFonts w:hint="eastAsia" w:ascii="宋体" w:hAnsi="宋体" w:eastAsia="宋体" w:cs="宋体"/>
                <w:sz w:val="18"/>
                <w:szCs w:val="18"/>
                <w:lang w:eastAsia="zh-CN"/>
              </w:rPr>
              <w:t>，提供国内场景评价依据；评价对象不同</w:t>
            </w:r>
          </w:p>
        </w:tc>
      </w:tr>
      <w:tr w14:paraId="09310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6860A5A8">
            <w:pPr>
              <w:spacing w:line="240" w:lineRule="auto"/>
              <w:ind w:firstLine="0"/>
              <w:rPr>
                <w:rFonts w:hint="eastAsia" w:ascii="宋体" w:hAnsi="宋体" w:eastAsia="宋体" w:cs="宋体"/>
                <w:sz w:val="18"/>
                <w:szCs w:val="18"/>
              </w:rPr>
            </w:pPr>
            <w:r>
              <w:rPr>
                <w:rFonts w:hint="default" w:ascii="Times New Roman" w:hAnsi="Times New Roman" w:eastAsia="宋体" w:cs="Times New Roman"/>
                <w:sz w:val="18"/>
                <w:szCs w:val="18"/>
              </w:rPr>
              <w:t>UNECE NATM Master Document/Guidelines</w:t>
            </w:r>
            <w:r>
              <w:rPr>
                <w:rFonts w:hint="eastAsia" w:ascii="宋体" w:hAnsi="宋体" w:eastAsia="宋体" w:cs="宋体"/>
                <w:sz w:val="18"/>
                <w:szCs w:val="18"/>
              </w:rPr>
              <w:t>系列工作文件</w:t>
            </w:r>
          </w:p>
        </w:tc>
        <w:tc>
          <w:tcPr>
            <w:tcW w:w="961" w:type="dxa"/>
            <w:tcMar>
              <w:top w:w="70" w:type="dxa"/>
              <w:left w:w="90" w:type="dxa"/>
              <w:bottom w:w="70" w:type="dxa"/>
              <w:right w:w="90" w:type="dxa"/>
            </w:tcMar>
          </w:tcPr>
          <w:p w14:paraId="5EC00428">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监管方法文件</w:t>
            </w:r>
          </w:p>
        </w:tc>
        <w:tc>
          <w:tcPr>
            <w:tcW w:w="1142" w:type="dxa"/>
            <w:tcMar>
              <w:top w:w="70" w:type="dxa"/>
              <w:left w:w="90" w:type="dxa"/>
              <w:bottom w:w="70" w:type="dxa"/>
              <w:right w:w="90" w:type="dxa"/>
            </w:tcMar>
          </w:tcPr>
          <w:p w14:paraId="076C627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持续演进；2021文件为历史基线</w:t>
            </w:r>
          </w:p>
        </w:tc>
        <w:tc>
          <w:tcPr>
            <w:tcW w:w="2220" w:type="dxa"/>
            <w:tcMar>
              <w:top w:w="70" w:type="dxa"/>
              <w:left w:w="90" w:type="dxa"/>
              <w:bottom w:w="70" w:type="dxa"/>
              <w:right w:w="90" w:type="dxa"/>
            </w:tcMar>
          </w:tcPr>
          <w:p w14:paraId="640AA40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审核、仿真、场地和道路等多支柱安全评价方法</w:t>
            </w:r>
          </w:p>
        </w:tc>
        <w:tc>
          <w:tcPr>
            <w:tcW w:w="912" w:type="dxa"/>
            <w:tcMar>
              <w:top w:w="70" w:type="dxa"/>
              <w:left w:w="90" w:type="dxa"/>
              <w:bottom w:w="70" w:type="dxa"/>
              <w:right w:w="90" w:type="dxa"/>
            </w:tcMar>
          </w:tcPr>
          <w:p w14:paraId="0743AC37">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部分可比</w:t>
            </w:r>
          </w:p>
        </w:tc>
        <w:tc>
          <w:tcPr>
            <w:tcW w:w="1685" w:type="dxa"/>
            <w:tcMar>
              <w:top w:w="70" w:type="dxa"/>
              <w:left w:w="90" w:type="dxa"/>
              <w:bottom w:w="70" w:type="dxa"/>
              <w:right w:w="90" w:type="dxa"/>
            </w:tcMar>
          </w:tcPr>
          <w:p w14:paraId="4A325D45">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说明仿真在综合安全评价中的作用；不提供软件可信度评分</w:t>
            </w:r>
          </w:p>
        </w:tc>
      </w:tr>
      <w:tr w14:paraId="4E676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3A1D865B">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ISO 23150:2023 Road vehicles—Data communication between sensors and data fusion unit—Logical interface</w:t>
            </w:r>
          </w:p>
        </w:tc>
        <w:tc>
          <w:tcPr>
            <w:tcW w:w="961" w:type="dxa"/>
            <w:tcMar>
              <w:top w:w="70" w:type="dxa"/>
              <w:left w:w="90" w:type="dxa"/>
              <w:bottom w:w="70" w:type="dxa"/>
              <w:right w:w="90" w:type="dxa"/>
            </w:tcMar>
          </w:tcPr>
          <w:p w14:paraId="19B81B17">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国际接口标准</w:t>
            </w:r>
          </w:p>
        </w:tc>
        <w:tc>
          <w:tcPr>
            <w:tcW w:w="1142" w:type="dxa"/>
            <w:tcMar>
              <w:top w:w="70" w:type="dxa"/>
              <w:left w:w="90" w:type="dxa"/>
              <w:bottom w:w="70" w:type="dxa"/>
              <w:right w:w="90" w:type="dxa"/>
            </w:tcMar>
          </w:tcPr>
          <w:p w14:paraId="46F40684">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2026年6月29日撤回</w:t>
            </w:r>
          </w:p>
        </w:tc>
        <w:tc>
          <w:tcPr>
            <w:tcW w:w="2220" w:type="dxa"/>
            <w:tcMar>
              <w:top w:w="70" w:type="dxa"/>
              <w:left w:w="90" w:type="dxa"/>
              <w:bottom w:w="70" w:type="dxa"/>
              <w:right w:w="90" w:type="dxa"/>
            </w:tcMar>
          </w:tcPr>
          <w:p w14:paraId="1AAAC28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传感器与数据融合单元逻辑接口；未规定可信度评分</w:t>
            </w:r>
          </w:p>
        </w:tc>
        <w:tc>
          <w:tcPr>
            <w:tcW w:w="912" w:type="dxa"/>
            <w:tcMar>
              <w:top w:w="70" w:type="dxa"/>
              <w:left w:w="90" w:type="dxa"/>
              <w:bottom w:w="70" w:type="dxa"/>
              <w:right w:w="90" w:type="dxa"/>
            </w:tcMar>
          </w:tcPr>
          <w:p w14:paraId="23F5A750">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支撑性</w:t>
            </w:r>
          </w:p>
        </w:tc>
        <w:tc>
          <w:tcPr>
            <w:tcW w:w="1685" w:type="dxa"/>
            <w:tcMar>
              <w:top w:w="70" w:type="dxa"/>
              <w:left w:w="90" w:type="dxa"/>
              <w:bottom w:w="70" w:type="dxa"/>
              <w:right w:w="90" w:type="dxa"/>
            </w:tcMar>
          </w:tcPr>
          <w:p w14:paraId="22205B9E">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作为历史版本状态参考；现行接口依据采用GB/T 47126—2026</w:t>
            </w:r>
          </w:p>
        </w:tc>
      </w:tr>
      <w:tr w14:paraId="59988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710DB81D">
            <w:pPr>
              <w:spacing w:line="240" w:lineRule="auto"/>
              <w:ind w:firstLine="0"/>
              <w:rPr>
                <w:rFonts w:hint="eastAsia" w:ascii="宋体" w:hAnsi="宋体" w:eastAsia="宋体" w:cs="宋体"/>
                <w:sz w:val="18"/>
                <w:szCs w:val="18"/>
              </w:rPr>
            </w:pPr>
            <w:r>
              <w:rPr>
                <w:rFonts w:hint="default" w:ascii="Times New Roman" w:hAnsi="Times New Roman" w:eastAsia="宋体" w:cs="Times New Roman"/>
                <w:sz w:val="18"/>
                <w:szCs w:val="18"/>
              </w:rPr>
              <w:t>ISO 23150-1、-2、-11</w:t>
            </w:r>
            <w:r>
              <w:rPr>
                <w:rFonts w:hint="eastAsia" w:ascii="宋体" w:hAnsi="宋体" w:eastAsia="宋体" w:cs="宋体"/>
                <w:sz w:val="18"/>
                <w:szCs w:val="18"/>
              </w:rPr>
              <w:t>至</w:t>
            </w:r>
            <w:r>
              <w:rPr>
                <w:rFonts w:hint="default" w:ascii="Times New Roman" w:hAnsi="Times New Roman" w:eastAsia="宋体" w:cs="Times New Roman"/>
                <w:sz w:val="18"/>
                <w:szCs w:val="18"/>
              </w:rPr>
              <w:t>-15、-20:2026</w:t>
            </w:r>
            <w:r>
              <w:rPr>
                <w:rFonts w:hint="eastAsia" w:ascii="宋体" w:hAnsi="宋体" w:eastAsia="宋体" w:cs="宋体"/>
                <w:sz w:val="18"/>
                <w:szCs w:val="18"/>
              </w:rPr>
              <w:t>系列</w:t>
            </w:r>
          </w:p>
        </w:tc>
        <w:tc>
          <w:tcPr>
            <w:tcW w:w="961" w:type="dxa"/>
            <w:tcMar>
              <w:top w:w="70" w:type="dxa"/>
              <w:left w:w="90" w:type="dxa"/>
              <w:bottom w:w="70" w:type="dxa"/>
              <w:right w:w="90" w:type="dxa"/>
            </w:tcMar>
          </w:tcPr>
          <w:p w14:paraId="365D2580">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国际接口标准系列</w:t>
            </w:r>
          </w:p>
        </w:tc>
        <w:tc>
          <w:tcPr>
            <w:tcW w:w="1142" w:type="dxa"/>
            <w:tcMar>
              <w:top w:w="70" w:type="dxa"/>
              <w:left w:w="90" w:type="dxa"/>
              <w:bottom w:w="70" w:type="dxa"/>
              <w:right w:w="90" w:type="dxa"/>
            </w:tcMar>
          </w:tcPr>
          <w:p w14:paraId="2E7467CF">
            <w:pPr>
              <w:spacing w:line="240" w:lineRule="auto"/>
              <w:ind w:firstLine="0"/>
              <w:rPr>
                <w:rFonts w:hint="eastAsia" w:ascii="宋体" w:hAnsi="宋体" w:eastAsia="宋体" w:cs="宋体"/>
                <w:sz w:val="18"/>
                <w:szCs w:val="18"/>
              </w:rPr>
            </w:pPr>
            <w:r>
              <w:rPr>
                <w:rFonts w:hint="default" w:ascii="Times New Roman" w:hAnsi="Times New Roman" w:eastAsia="宋体" w:cs="Times New Roman"/>
                <w:sz w:val="18"/>
                <w:szCs w:val="18"/>
              </w:rPr>
              <w:t>Published</w:t>
            </w:r>
            <w:r>
              <w:rPr>
                <w:rFonts w:hint="eastAsia" w:ascii="宋体" w:hAnsi="宋体" w:eastAsia="宋体" w:cs="宋体"/>
                <w:sz w:val="18"/>
                <w:szCs w:val="18"/>
              </w:rPr>
              <w:t>；2026年</w:t>
            </w:r>
          </w:p>
        </w:tc>
        <w:tc>
          <w:tcPr>
            <w:tcW w:w="2220" w:type="dxa"/>
            <w:tcMar>
              <w:top w:w="70" w:type="dxa"/>
              <w:left w:w="90" w:type="dxa"/>
              <w:bottom w:w="70" w:type="dxa"/>
              <w:right w:w="90" w:type="dxa"/>
            </w:tcMar>
          </w:tcPr>
          <w:p w14:paraId="42BF2E8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传感器与数据融合单元的一般原则和对象级接口</w:t>
            </w:r>
          </w:p>
        </w:tc>
        <w:tc>
          <w:tcPr>
            <w:tcW w:w="912" w:type="dxa"/>
            <w:tcMar>
              <w:top w:w="70" w:type="dxa"/>
              <w:left w:w="90" w:type="dxa"/>
              <w:bottom w:w="70" w:type="dxa"/>
              <w:right w:w="90" w:type="dxa"/>
            </w:tcMar>
          </w:tcPr>
          <w:p w14:paraId="3B6942C5">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支撑性</w:t>
            </w:r>
          </w:p>
        </w:tc>
        <w:tc>
          <w:tcPr>
            <w:tcW w:w="1685" w:type="dxa"/>
            <w:tcMar>
              <w:top w:w="70" w:type="dxa"/>
              <w:left w:w="90" w:type="dxa"/>
              <w:bottom w:w="70" w:type="dxa"/>
              <w:right w:w="90" w:type="dxa"/>
            </w:tcMar>
          </w:tcPr>
          <w:p w14:paraId="503342D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支撑感知接口核查；不替代模型验证和专业能力评价</w:t>
            </w:r>
          </w:p>
        </w:tc>
      </w:tr>
      <w:tr w14:paraId="39B38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4AF50671">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ASAM OpenSCENARIO XML Specification</w:t>
            </w:r>
          </w:p>
        </w:tc>
        <w:tc>
          <w:tcPr>
            <w:tcW w:w="961" w:type="dxa"/>
            <w:tcMar>
              <w:top w:w="70" w:type="dxa"/>
              <w:left w:w="90" w:type="dxa"/>
              <w:bottom w:w="70" w:type="dxa"/>
              <w:right w:w="90" w:type="dxa"/>
            </w:tcMar>
          </w:tcPr>
          <w:p w14:paraId="3504ED9A">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场景格式规范</w:t>
            </w:r>
          </w:p>
        </w:tc>
        <w:tc>
          <w:tcPr>
            <w:tcW w:w="1142" w:type="dxa"/>
            <w:tcMar>
              <w:top w:w="70" w:type="dxa"/>
              <w:left w:w="90" w:type="dxa"/>
              <w:bottom w:w="70" w:type="dxa"/>
              <w:right w:w="90" w:type="dxa"/>
            </w:tcMar>
          </w:tcPr>
          <w:p w14:paraId="191BEA8A">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官网现行版本1.4.0；截至2026-08-08</w:t>
            </w:r>
          </w:p>
        </w:tc>
        <w:tc>
          <w:tcPr>
            <w:tcW w:w="2220" w:type="dxa"/>
            <w:tcMar>
              <w:top w:w="70" w:type="dxa"/>
              <w:left w:w="90" w:type="dxa"/>
              <w:bottom w:w="70" w:type="dxa"/>
              <w:right w:w="90" w:type="dxa"/>
            </w:tcMar>
          </w:tcPr>
          <w:p w14:paraId="5F016F72">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动态交通场景描述、交换和复用</w:t>
            </w:r>
          </w:p>
        </w:tc>
        <w:tc>
          <w:tcPr>
            <w:tcW w:w="912" w:type="dxa"/>
            <w:tcMar>
              <w:top w:w="70" w:type="dxa"/>
              <w:left w:w="90" w:type="dxa"/>
              <w:bottom w:w="70" w:type="dxa"/>
              <w:right w:w="90" w:type="dxa"/>
            </w:tcMar>
          </w:tcPr>
          <w:p w14:paraId="551D54E9">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支撑性</w:t>
            </w:r>
          </w:p>
        </w:tc>
        <w:tc>
          <w:tcPr>
            <w:tcW w:w="1685" w:type="dxa"/>
            <w:tcMar>
              <w:top w:w="70" w:type="dxa"/>
              <w:left w:w="90" w:type="dxa"/>
              <w:bottom w:w="70" w:type="dxa"/>
              <w:right w:w="90" w:type="dxa"/>
            </w:tcMar>
          </w:tcPr>
          <w:p w14:paraId="614F4915">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支撑场景格式兼容性；正文规范性引用仍为V1.2.0</w:t>
            </w:r>
          </w:p>
        </w:tc>
      </w:tr>
      <w:tr w14:paraId="00132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384F515C">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ASAM OpenSCENARIO DSL Specification</w:t>
            </w:r>
          </w:p>
        </w:tc>
        <w:tc>
          <w:tcPr>
            <w:tcW w:w="961" w:type="dxa"/>
            <w:tcMar>
              <w:top w:w="70" w:type="dxa"/>
              <w:left w:w="90" w:type="dxa"/>
              <w:bottom w:w="70" w:type="dxa"/>
              <w:right w:w="90" w:type="dxa"/>
            </w:tcMar>
          </w:tcPr>
          <w:p w14:paraId="55F107A5">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场景语言规范</w:t>
            </w:r>
          </w:p>
        </w:tc>
        <w:tc>
          <w:tcPr>
            <w:tcW w:w="1142" w:type="dxa"/>
            <w:tcMar>
              <w:top w:w="70" w:type="dxa"/>
              <w:left w:w="90" w:type="dxa"/>
              <w:bottom w:w="70" w:type="dxa"/>
              <w:right w:w="90" w:type="dxa"/>
            </w:tcMar>
          </w:tcPr>
          <w:p w14:paraId="1ABF1AE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官网现行版本2.2.0；截至2026-08-08</w:t>
            </w:r>
          </w:p>
        </w:tc>
        <w:tc>
          <w:tcPr>
            <w:tcW w:w="2220" w:type="dxa"/>
            <w:tcMar>
              <w:top w:w="70" w:type="dxa"/>
              <w:left w:w="90" w:type="dxa"/>
              <w:bottom w:w="70" w:type="dxa"/>
              <w:right w:w="90" w:type="dxa"/>
            </w:tcMar>
          </w:tcPr>
          <w:p w14:paraId="3077370E">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抽象、逻辑和具体场景的描述、组合及参数约束</w:t>
            </w:r>
          </w:p>
        </w:tc>
        <w:tc>
          <w:tcPr>
            <w:tcW w:w="912" w:type="dxa"/>
            <w:tcMar>
              <w:top w:w="70" w:type="dxa"/>
              <w:left w:w="90" w:type="dxa"/>
              <w:bottom w:w="70" w:type="dxa"/>
              <w:right w:w="90" w:type="dxa"/>
            </w:tcMar>
          </w:tcPr>
          <w:p w14:paraId="6887DD97">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支撑性</w:t>
            </w:r>
          </w:p>
        </w:tc>
        <w:tc>
          <w:tcPr>
            <w:tcW w:w="1685" w:type="dxa"/>
            <w:tcMar>
              <w:top w:w="70" w:type="dxa"/>
              <w:left w:w="90" w:type="dxa"/>
              <w:bottom w:w="70" w:type="dxa"/>
              <w:right w:w="90" w:type="dxa"/>
            </w:tcMar>
          </w:tcPr>
          <w:p w14:paraId="3F4CCAF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支撑场景生成和覆盖能力；不提供可信度评分</w:t>
            </w:r>
          </w:p>
        </w:tc>
      </w:tr>
      <w:tr w14:paraId="14D11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7A10BD06">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ASAM OpenDRIVE Specification</w:t>
            </w:r>
          </w:p>
        </w:tc>
        <w:tc>
          <w:tcPr>
            <w:tcW w:w="961" w:type="dxa"/>
            <w:tcMar>
              <w:top w:w="70" w:type="dxa"/>
              <w:left w:w="90" w:type="dxa"/>
              <w:bottom w:w="70" w:type="dxa"/>
              <w:right w:w="90" w:type="dxa"/>
            </w:tcMar>
          </w:tcPr>
          <w:p w14:paraId="6F3081BE">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道路网络格式规范</w:t>
            </w:r>
          </w:p>
        </w:tc>
        <w:tc>
          <w:tcPr>
            <w:tcW w:w="1142" w:type="dxa"/>
            <w:tcMar>
              <w:top w:w="70" w:type="dxa"/>
              <w:left w:w="90" w:type="dxa"/>
              <w:bottom w:w="70" w:type="dxa"/>
              <w:right w:w="90" w:type="dxa"/>
            </w:tcMar>
          </w:tcPr>
          <w:p w14:paraId="32EE5986">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官网现行版本1.9.0；截至2026-08-08</w:t>
            </w:r>
          </w:p>
        </w:tc>
        <w:tc>
          <w:tcPr>
            <w:tcW w:w="2220" w:type="dxa"/>
            <w:tcMar>
              <w:top w:w="70" w:type="dxa"/>
              <w:left w:w="90" w:type="dxa"/>
              <w:bottom w:w="70" w:type="dxa"/>
              <w:right w:w="90" w:type="dxa"/>
            </w:tcMar>
          </w:tcPr>
          <w:p w14:paraId="7CED3B2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静态道路网络、车道和道路设施的描述与交换</w:t>
            </w:r>
          </w:p>
        </w:tc>
        <w:tc>
          <w:tcPr>
            <w:tcW w:w="912" w:type="dxa"/>
            <w:tcMar>
              <w:top w:w="70" w:type="dxa"/>
              <w:left w:w="90" w:type="dxa"/>
              <w:bottom w:w="70" w:type="dxa"/>
              <w:right w:w="90" w:type="dxa"/>
            </w:tcMar>
          </w:tcPr>
          <w:p w14:paraId="34022579">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支撑性</w:t>
            </w:r>
          </w:p>
        </w:tc>
        <w:tc>
          <w:tcPr>
            <w:tcW w:w="1685" w:type="dxa"/>
            <w:tcMar>
              <w:top w:w="70" w:type="dxa"/>
              <w:left w:w="90" w:type="dxa"/>
              <w:bottom w:w="70" w:type="dxa"/>
              <w:right w:w="90" w:type="dxa"/>
            </w:tcMar>
          </w:tcPr>
          <w:p w14:paraId="51646DB2">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支撑道路数据互操作；正文规范性引用仍为V1.7.0</w:t>
            </w:r>
          </w:p>
        </w:tc>
      </w:tr>
      <w:tr w14:paraId="05461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35818BBC">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ASAM Open Simulation Interface（OSI）</w:t>
            </w:r>
          </w:p>
        </w:tc>
        <w:tc>
          <w:tcPr>
            <w:tcW w:w="961" w:type="dxa"/>
            <w:tcMar>
              <w:top w:w="70" w:type="dxa"/>
              <w:left w:w="90" w:type="dxa"/>
              <w:bottom w:w="70" w:type="dxa"/>
              <w:right w:w="90" w:type="dxa"/>
            </w:tcMar>
          </w:tcPr>
          <w:p w14:paraId="45DA7E05">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仿真接口规范</w:t>
            </w:r>
          </w:p>
        </w:tc>
        <w:tc>
          <w:tcPr>
            <w:tcW w:w="1142" w:type="dxa"/>
            <w:tcMar>
              <w:top w:w="70" w:type="dxa"/>
              <w:left w:w="90" w:type="dxa"/>
              <w:bottom w:w="70" w:type="dxa"/>
              <w:right w:w="90" w:type="dxa"/>
            </w:tcMar>
          </w:tcPr>
          <w:p w14:paraId="6A214DAC">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官网现行版本3.8.0；截至2026-08-08</w:t>
            </w:r>
          </w:p>
        </w:tc>
        <w:tc>
          <w:tcPr>
            <w:tcW w:w="2220" w:type="dxa"/>
            <w:tcMar>
              <w:top w:w="70" w:type="dxa"/>
              <w:left w:w="90" w:type="dxa"/>
              <w:bottom w:w="70" w:type="dxa"/>
              <w:right w:w="90" w:type="dxa"/>
            </w:tcMar>
          </w:tcPr>
          <w:p w14:paraId="1AADA0BE">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仿真器、传感器模型和自动驾驶功能间的数据交换</w:t>
            </w:r>
          </w:p>
        </w:tc>
        <w:tc>
          <w:tcPr>
            <w:tcW w:w="912" w:type="dxa"/>
            <w:tcMar>
              <w:top w:w="70" w:type="dxa"/>
              <w:left w:w="90" w:type="dxa"/>
              <w:bottom w:w="70" w:type="dxa"/>
              <w:right w:w="90" w:type="dxa"/>
            </w:tcMar>
          </w:tcPr>
          <w:p w14:paraId="11FC6A06">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支撑性</w:t>
            </w:r>
          </w:p>
        </w:tc>
        <w:tc>
          <w:tcPr>
            <w:tcW w:w="1685" w:type="dxa"/>
            <w:tcMar>
              <w:top w:w="70" w:type="dxa"/>
              <w:left w:w="90" w:type="dxa"/>
              <w:bottom w:w="70" w:type="dxa"/>
              <w:right w:w="90" w:type="dxa"/>
            </w:tcMar>
          </w:tcPr>
          <w:p w14:paraId="1B7C2938">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支撑接口和集成核查；不提供可信度评分</w:t>
            </w:r>
          </w:p>
        </w:tc>
      </w:tr>
      <w:tr w14:paraId="24253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100" w:type="dxa"/>
            <w:tcMar>
              <w:top w:w="70" w:type="dxa"/>
              <w:left w:w="90" w:type="dxa"/>
              <w:bottom w:w="70" w:type="dxa"/>
              <w:right w:w="90" w:type="dxa"/>
            </w:tcMar>
          </w:tcPr>
          <w:p w14:paraId="6CD229FD">
            <w:pPr>
              <w:spacing w:line="240" w:lineRule="auto"/>
              <w:ind w:firstLine="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ISO 21448:2022 Road vehicles—Safety of the intended functionality</w:t>
            </w:r>
          </w:p>
        </w:tc>
        <w:tc>
          <w:tcPr>
            <w:tcW w:w="961" w:type="dxa"/>
            <w:tcMar>
              <w:top w:w="70" w:type="dxa"/>
              <w:left w:w="90" w:type="dxa"/>
              <w:bottom w:w="70" w:type="dxa"/>
              <w:right w:w="90" w:type="dxa"/>
            </w:tcMar>
          </w:tcPr>
          <w:p w14:paraId="55A1BA95">
            <w:pPr>
              <w:spacing w:line="240" w:lineRule="auto"/>
              <w:ind w:firstLine="0"/>
              <w:jc w:val="center"/>
              <w:rPr>
                <w:rFonts w:hint="eastAsia" w:ascii="宋体" w:hAnsi="宋体" w:eastAsia="宋体" w:cs="宋体"/>
                <w:sz w:val="18"/>
                <w:szCs w:val="18"/>
              </w:rPr>
            </w:pPr>
            <w:r>
              <w:rPr>
                <w:rFonts w:hint="eastAsia" w:ascii="宋体" w:hAnsi="宋体" w:eastAsia="宋体" w:cs="宋体"/>
                <w:sz w:val="18"/>
                <w:szCs w:val="18"/>
              </w:rPr>
              <w:t>国际标准</w:t>
            </w:r>
          </w:p>
        </w:tc>
        <w:tc>
          <w:tcPr>
            <w:tcW w:w="1142" w:type="dxa"/>
            <w:tcMar>
              <w:top w:w="70" w:type="dxa"/>
              <w:left w:w="90" w:type="dxa"/>
              <w:bottom w:w="70" w:type="dxa"/>
              <w:right w:w="90" w:type="dxa"/>
            </w:tcMar>
          </w:tcPr>
          <w:p w14:paraId="387FC0B8">
            <w:pPr>
              <w:spacing w:line="240" w:lineRule="auto"/>
              <w:ind w:firstLine="0"/>
              <w:rPr>
                <w:rFonts w:hint="eastAsia" w:ascii="宋体" w:hAnsi="宋体" w:eastAsia="宋体" w:cs="宋体"/>
                <w:sz w:val="18"/>
                <w:szCs w:val="18"/>
              </w:rPr>
            </w:pPr>
            <w:r>
              <w:rPr>
                <w:rFonts w:hint="default" w:ascii="Times New Roman" w:hAnsi="Times New Roman" w:eastAsia="宋体" w:cs="Times New Roman"/>
                <w:sz w:val="18"/>
                <w:szCs w:val="18"/>
              </w:rPr>
              <w:t>Published</w:t>
            </w:r>
            <w:r>
              <w:rPr>
                <w:rFonts w:hint="eastAsia" w:ascii="宋体" w:hAnsi="宋体" w:eastAsia="宋体" w:cs="宋体"/>
                <w:sz w:val="18"/>
                <w:szCs w:val="18"/>
              </w:rPr>
              <w:t>；2022年</w:t>
            </w:r>
          </w:p>
        </w:tc>
        <w:tc>
          <w:tcPr>
            <w:tcW w:w="2220" w:type="dxa"/>
            <w:tcMar>
              <w:top w:w="70" w:type="dxa"/>
              <w:left w:w="90" w:type="dxa"/>
              <w:bottom w:w="70" w:type="dxa"/>
              <w:right w:w="90" w:type="dxa"/>
            </w:tcMar>
          </w:tcPr>
          <w:p w14:paraId="18111D7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预期功能安全的验证、确认和论证框架</w:t>
            </w:r>
          </w:p>
        </w:tc>
        <w:tc>
          <w:tcPr>
            <w:tcW w:w="912" w:type="dxa"/>
            <w:tcMar>
              <w:top w:w="70" w:type="dxa"/>
              <w:left w:w="90" w:type="dxa"/>
              <w:bottom w:w="70" w:type="dxa"/>
              <w:right w:w="90" w:type="dxa"/>
            </w:tcMar>
          </w:tcPr>
          <w:p w14:paraId="63A4817F">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评价边界不同</w:t>
            </w:r>
          </w:p>
        </w:tc>
        <w:tc>
          <w:tcPr>
            <w:tcW w:w="1685" w:type="dxa"/>
            <w:tcMar>
              <w:top w:w="70" w:type="dxa"/>
              <w:left w:w="90" w:type="dxa"/>
              <w:bottom w:w="70" w:type="dxa"/>
              <w:right w:w="90" w:type="dxa"/>
            </w:tcMar>
          </w:tcPr>
          <w:p w14:paraId="3908DD79">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用于识别预期功能安全专项评价边界；不提供本标准的可信度评分</w:t>
            </w:r>
          </w:p>
        </w:tc>
      </w:tr>
    </w:tbl>
    <w:p w14:paraId="43296AAA">
      <w:pPr>
        <w:spacing w:before="40" w:after="80" w:line="360" w:lineRule="auto"/>
        <w:ind w:left="778" w:leftChars="174" w:hanging="360" w:hangingChars="200"/>
        <w:rPr>
          <w:rFonts w:hint="eastAsia" w:ascii="宋体" w:hAnsi="宋体" w:eastAsia="宋体" w:cs="宋体"/>
          <w:sz w:val="21"/>
          <w:szCs w:val="21"/>
          <w:lang w:eastAsia="zh-CN"/>
        </w:rPr>
      </w:pPr>
      <w:r>
        <w:rPr>
          <w:rFonts w:hint="eastAsia" w:ascii="宋体" w:hAnsi="宋体" w:eastAsia="宋体" w:cs="宋体"/>
          <w:sz w:val="18"/>
          <w:szCs w:val="18"/>
          <w:lang w:eastAsia="zh-CN"/>
        </w:rPr>
        <w:t>注：状态和版本核验日期为2026年8月8日，依据各标准发布组织官网公开信息；官网现行</w:t>
      </w:r>
      <w:r>
        <w:rPr>
          <w:rFonts w:hint="eastAsia" w:ascii="宋体" w:hAnsi="宋体" w:eastAsia="宋体" w:cs="宋体"/>
          <w:sz w:val="18"/>
          <w:szCs w:val="18"/>
          <w:lang w:val="en-US" w:eastAsia="zh-CN"/>
        </w:rPr>
        <w:t xml:space="preserve"> </w:t>
      </w:r>
      <w:r>
        <w:rPr>
          <w:rFonts w:hint="eastAsia" w:ascii="宋体" w:hAnsi="宋体" w:eastAsia="宋体" w:cs="宋体"/>
          <w:sz w:val="18"/>
          <w:szCs w:val="18"/>
          <w:lang w:eastAsia="zh-CN"/>
        </w:rPr>
        <w:t>版本仅用于现状比较，团体标准正文的规范性引用版本以第2章为准。</w:t>
      </w:r>
    </w:p>
    <w:p w14:paraId="26EDC903">
      <w:pPr>
        <w:pStyle w:val="4"/>
        <w:spacing w:before="120" w:line="360" w:lineRule="auto"/>
        <w:rPr>
          <w:rFonts w:hint="eastAsia" w:ascii="黑体" w:hAnsi="黑体" w:eastAsia="黑体" w:cs="黑体"/>
          <w:b w:val="0"/>
          <w:bCs w:val="0"/>
          <w:sz w:val="21"/>
          <w:szCs w:val="21"/>
          <w:lang w:eastAsia="zh-CN"/>
        </w:rPr>
      </w:pPr>
      <w:bookmarkStart w:id="22" w:name="_Toc237075110"/>
      <w:r>
        <w:rPr>
          <w:rFonts w:hint="eastAsia" w:ascii="黑体" w:hAnsi="黑体" w:eastAsia="黑体" w:cs="黑体"/>
          <w:b w:val="0"/>
          <w:bCs w:val="0"/>
          <w:sz w:val="21"/>
          <w:szCs w:val="21"/>
          <w:lang w:eastAsia="zh-CN"/>
        </w:rPr>
        <w:t>5.3  与相关评价的衔接</w:t>
      </w:r>
      <w:bookmarkEnd w:id="22"/>
    </w:p>
    <w:p w14:paraId="0FB259AB">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综合上表国内外文件对比，本标准具备三项独有差异化优势：</w:t>
      </w:r>
    </w:p>
    <w:p w14:paraId="4826B81B">
      <w:pPr>
        <w:spacing w:line="360" w:lineRule="auto"/>
        <w:ind w:left="628" w:leftChars="174"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1）国内唯一专门面向交通仿真测试软件的量化分级可信度评价标准，现有国标、国际标准仅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覆盖通用仿真或整车场景安全，无软件专项分级体系；</w:t>
      </w:r>
    </w:p>
    <w:p w14:paraId="1071CC7D">
      <w:pPr>
        <w:spacing w:line="360" w:lineRule="auto"/>
        <w:ind w:left="628" w:leftChars="174"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2）首创 “国标通用可信度证据前置核查 + 五类交通仿真专项能力加权评分” 双轨架构，兼</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顾合规底线与专业性能分级；</w:t>
      </w:r>
    </w:p>
    <w:p w14:paraId="216D72E4">
      <w:pPr>
        <w:spacing w:line="360" w:lineRule="auto"/>
        <w:ind w:left="628" w:leftChars="174" w:hanging="210" w:hangingChars="1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3）完整适配国内 SIL/HIL/VIL/ 虚实结合全主流仿真测试链路，指标贴合国内交通场景、法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规与产业落地需求，国际规范无法直接适配国内评价体系。</w:t>
      </w:r>
    </w:p>
    <w:p w14:paraId="0B4535FC">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本标准仅完成交通仿真软件自身可信度评价，不作为整车自动驾驶功能、场地 / 道路实车测试的替代依据。整车功能安全、预期功能安全、网络安全、数据安全、个人信息保护专项评价，分别按照对应法律法规、强制性国家标准独立实施；所有专项核查结果统一记录在评估附件中，不纳入本标准五级评分体系。</w:t>
      </w:r>
    </w:p>
    <w:p w14:paraId="7934B95E">
      <w:pPr>
        <w:pStyle w:val="3"/>
        <w:spacing w:before="200" w:after="80" w:line="360" w:lineRule="auto"/>
        <w:rPr>
          <w:rFonts w:hint="eastAsia" w:ascii="黑体" w:hAnsi="黑体" w:eastAsia="黑体" w:cs="黑体"/>
          <w:b w:val="0"/>
          <w:bCs w:val="0"/>
          <w:sz w:val="21"/>
          <w:szCs w:val="21"/>
          <w:lang w:eastAsia="zh-CN"/>
        </w:rPr>
      </w:pPr>
      <w:bookmarkStart w:id="23" w:name="_Toc237075111"/>
      <w:r>
        <w:rPr>
          <w:rFonts w:hint="eastAsia" w:ascii="黑体" w:hAnsi="黑体" w:eastAsia="黑体" w:cs="黑体"/>
          <w:b w:val="0"/>
          <w:bCs w:val="0"/>
          <w:sz w:val="21"/>
          <w:szCs w:val="21"/>
          <w:lang w:eastAsia="zh-CN"/>
        </w:rPr>
        <w:t>6  专家意见处理情况</w:t>
      </w:r>
      <w:bookmarkEnd w:id="23"/>
    </w:p>
    <w:p w14:paraId="76B84D85">
      <w:pPr>
        <w:pStyle w:val="4"/>
        <w:spacing w:before="120" w:line="360" w:lineRule="auto"/>
        <w:rPr>
          <w:rFonts w:hint="eastAsia" w:ascii="黑体" w:hAnsi="黑体" w:eastAsia="黑体" w:cs="黑体"/>
          <w:b w:val="0"/>
          <w:bCs w:val="0"/>
          <w:sz w:val="21"/>
          <w:szCs w:val="21"/>
          <w:lang w:eastAsia="zh-CN"/>
        </w:rPr>
      </w:pPr>
      <w:bookmarkStart w:id="24" w:name="_Toc237075112"/>
      <w:r>
        <w:rPr>
          <w:rFonts w:hint="eastAsia" w:ascii="黑体" w:hAnsi="黑体" w:eastAsia="黑体" w:cs="黑体"/>
          <w:b w:val="0"/>
          <w:bCs w:val="0"/>
          <w:sz w:val="21"/>
          <w:szCs w:val="21"/>
          <w:lang w:eastAsia="zh-CN"/>
        </w:rPr>
        <w:t>6.1  意见来源和处理原则</w:t>
      </w:r>
      <w:bookmarkEnd w:id="24"/>
    </w:p>
    <w:p w14:paraId="1782E99F">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次征求意见材料包括苏州科技大学马健意见反馈表和小米汽车科技有限公司意见反馈表。马健意见表填写日期为2026年6月25日，小米汽车科技有限公司意见反馈日期为2026年6月29日。意见内容涵盖评价范围、引用文件、指标设置、评分规则、等级边界、附录和报告要求。起草组结合意见开展条文核对和修改处理，处理结果按“已采纳”“部分采纳”和“未纳入（范围边界）”归类，具体修改见表5。</w:t>
      </w:r>
    </w:p>
    <w:p w14:paraId="14492772">
      <w:pPr>
        <w:spacing w:line="360" w:lineRule="auto"/>
        <w:ind w:firstLine="480"/>
        <w:rPr>
          <w:rFonts w:hint="eastAsia" w:ascii="宋体" w:hAnsi="宋体" w:eastAsia="宋体" w:cs="宋体"/>
          <w:sz w:val="21"/>
          <w:szCs w:val="21"/>
          <w:lang w:eastAsia="zh-CN"/>
        </w:rPr>
      </w:pPr>
      <w:r>
        <w:rPr>
          <w:rFonts w:hint="eastAsia" w:ascii="宋体" w:hAnsi="宋体" w:eastAsia="宋体" w:cs="宋体"/>
          <w:sz w:val="21"/>
          <w:szCs w:val="21"/>
          <w:lang w:eastAsia="zh-CN"/>
        </w:rPr>
        <w:t>表5按意见主题归纳三份反馈表的意见摘要、采纳情况和主要处理结果，用于对应说明相关意见在标准条款和编制说明中的落实情况。</w:t>
      </w:r>
    </w:p>
    <w:p w14:paraId="557AFA1C">
      <w:pPr>
        <w:keepNext/>
        <w:spacing w:line="240" w:lineRule="auto"/>
        <w:ind w:firstLine="0"/>
        <w:jc w:val="center"/>
        <w:rPr>
          <w:rFonts w:hint="eastAsia" w:ascii="黑体" w:hAnsi="黑体" w:eastAsia="黑体" w:cs="黑体"/>
          <w:b w:val="0"/>
          <w:bCs/>
          <w:sz w:val="21"/>
          <w:szCs w:val="21"/>
        </w:rPr>
      </w:pPr>
      <w:r>
        <w:rPr>
          <w:rFonts w:hint="eastAsia" w:ascii="黑体" w:hAnsi="黑体" w:eastAsia="黑体" w:cs="黑体"/>
          <w:b w:val="0"/>
          <w:bCs/>
          <w:sz w:val="21"/>
          <w:szCs w:val="21"/>
        </w:rPr>
        <w:t>表 5  专家意见处理汇总</w:t>
      </w:r>
    </w:p>
    <w:tbl>
      <w:tblPr>
        <w:tblStyle w:val="35"/>
        <w:tblW w:w="89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0"/>
        <w:gridCol w:w="2550"/>
        <w:gridCol w:w="1050"/>
        <w:gridCol w:w="3888"/>
      </w:tblGrid>
      <w:tr w14:paraId="6D6A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450" w:type="dxa"/>
            <w:tcMar>
              <w:top w:w="70" w:type="dxa"/>
              <w:left w:w="90" w:type="dxa"/>
              <w:bottom w:w="70" w:type="dxa"/>
              <w:right w:w="90" w:type="dxa"/>
            </w:tcMar>
            <w:vAlign w:val="center"/>
          </w:tcPr>
          <w:p w14:paraId="69D9D8C4">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意见主题</w:t>
            </w:r>
          </w:p>
        </w:tc>
        <w:tc>
          <w:tcPr>
            <w:tcW w:w="2550" w:type="dxa"/>
            <w:tcMar>
              <w:top w:w="70" w:type="dxa"/>
              <w:left w:w="90" w:type="dxa"/>
              <w:bottom w:w="70" w:type="dxa"/>
              <w:right w:w="90" w:type="dxa"/>
            </w:tcMar>
            <w:vAlign w:val="center"/>
          </w:tcPr>
          <w:p w14:paraId="655DB3D0">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意见摘要</w:t>
            </w:r>
          </w:p>
        </w:tc>
        <w:tc>
          <w:tcPr>
            <w:tcW w:w="1050" w:type="dxa"/>
            <w:tcMar>
              <w:top w:w="70" w:type="dxa"/>
              <w:left w:w="90" w:type="dxa"/>
              <w:bottom w:w="70" w:type="dxa"/>
              <w:right w:w="90" w:type="dxa"/>
            </w:tcMar>
            <w:vAlign w:val="center"/>
          </w:tcPr>
          <w:p w14:paraId="56C81FE2">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采纳情况</w:t>
            </w:r>
          </w:p>
        </w:tc>
        <w:tc>
          <w:tcPr>
            <w:tcW w:w="3888" w:type="dxa"/>
            <w:tcMar>
              <w:top w:w="70" w:type="dxa"/>
              <w:left w:w="90" w:type="dxa"/>
              <w:bottom w:w="70" w:type="dxa"/>
              <w:right w:w="90" w:type="dxa"/>
            </w:tcMar>
            <w:vAlign w:val="center"/>
          </w:tcPr>
          <w:p w14:paraId="567BFB77">
            <w:pPr>
              <w:spacing w:line="240" w:lineRule="auto"/>
              <w:ind w:firstLine="0"/>
              <w:jc w:val="center"/>
              <w:rPr>
                <w:rFonts w:hint="eastAsia" w:ascii="黑体" w:hAnsi="黑体" w:eastAsia="黑体" w:cs="黑体"/>
                <w:b w:val="0"/>
                <w:bCs w:val="0"/>
                <w:sz w:val="18"/>
                <w:szCs w:val="18"/>
              </w:rPr>
            </w:pPr>
            <w:r>
              <w:rPr>
                <w:rFonts w:hint="eastAsia" w:ascii="黑体" w:hAnsi="黑体" w:eastAsia="黑体" w:cs="黑体"/>
                <w:b w:val="0"/>
                <w:bCs w:val="0"/>
                <w:sz w:val="18"/>
                <w:szCs w:val="18"/>
              </w:rPr>
              <w:t>主要修改及处理结果</w:t>
            </w:r>
          </w:p>
        </w:tc>
      </w:tr>
      <w:tr w14:paraId="22989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382C6655">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总体完整性</w:t>
            </w:r>
          </w:p>
        </w:tc>
        <w:tc>
          <w:tcPr>
            <w:tcW w:w="2550" w:type="dxa"/>
            <w:tcMar>
              <w:top w:w="70" w:type="dxa"/>
              <w:left w:w="90" w:type="dxa"/>
              <w:bottom w:w="70" w:type="dxa"/>
              <w:right w:w="90" w:type="dxa"/>
            </w:tcMar>
          </w:tcPr>
          <w:p w14:paraId="1A5E9BBB">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建议补充评估流程、评分边界、证据要求和附录。</w:t>
            </w:r>
          </w:p>
        </w:tc>
        <w:tc>
          <w:tcPr>
            <w:tcW w:w="1050" w:type="dxa"/>
            <w:tcMar>
              <w:top w:w="70" w:type="dxa"/>
              <w:left w:w="90" w:type="dxa"/>
              <w:bottom w:w="70" w:type="dxa"/>
              <w:right w:w="90" w:type="dxa"/>
            </w:tcMar>
          </w:tcPr>
          <w:p w14:paraId="3A890809">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3606167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第4章、第6章和附录A已完善总体框架，流程、评分和报告要素按第6章和7.2条使用。</w:t>
            </w:r>
          </w:p>
        </w:tc>
      </w:tr>
      <w:tr w14:paraId="7EF7E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5379DCA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编号、名称与格式</w:t>
            </w:r>
          </w:p>
        </w:tc>
        <w:tc>
          <w:tcPr>
            <w:tcW w:w="2550" w:type="dxa"/>
            <w:tcMar>
              <w:top w:w="70" w:type="dxa"/>
              <w:left w:w="90" w:type="dxa"/>
              <w:bottom w:w="70" w:type="dxa"/>
              <w:right w:w="90" w:type="dxa"/>
            </w:tcMar>
          </w:tcPr>
          <w:p w14:paraId="0512369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建议统一章节编号、标题和版式。</w:t>
            </w:r>
          </w:p>
        </w:tc>
        <w:tc>
          <w:tcPr>
            <w:tcW w:w="1050" w:type="dxa"/>
            <w:tcMar>
              <w:top w:w="70" w:type="dxa"/>
              <w:left w:w="90" w:type="dxa"/>
              <w:bottom w:w="70" w:type="dxa"/>
              <w:right w:w="90" w:type="dxa"/>
            </w:tcMar>
          </w:tcPr>
          <w:p w14:paraId="26C48BAE">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已采纳</w:t>
            </w:r>
          </w:p>
        </w:tc>
        <w:tc>
          <w:tcPr>
            <w:tcW w:w="3888" w:type="dxa"/>
            <w:tcMar>
              <w:top w:w="70" w:type="dxa"/>
              <w:left w:w="90" w:type="dxa"/>
              <w:bottom w:w="70" w:type="dxa"/>
              <w:right w:w="90" w:type="dxa"/>
            </w:tcMar>
          </w:tcPr>
          <w:p w14:paraId="5D2F69B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已补充第6.4条，统一章节、标题、术语和表格格式。</w:t>
            </w:r>
          </w:p>
        </w:tc>
      </w:tr>
      <w:tr w14:paraId="6B1B4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07022979">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引用文件</w:t>
            </w:r>
          </w:p>
        </w:tc>
        <w:tc>
          <w:tcPr>
            <w:tcW w:w="2550" w:type="dxa"/>
            <w:tcMar>
              <w:top w:w="70" w:type="dxa"/>
              <w:left w:w="90" w:type="dxa"/>
              <w:bottom w:w="70" w:type="dxa"/>
              <w:right w:w="90" w:type="dxa"/>
            </w:tcMar>
          </w:tcPr>
          <w:p w14:paraId="78FDC9B7">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建议核对</w:t>
            </w:r>
            <w:r>
              <w:rPr>
                <w:rFonts w:hint="default" w:ascii="Times New Roman" w:hAnsi="Times New Roman" w:eastAsia="宋体" w:cs="Times New Roman"/>
                <w:sz w:val="18"/>
                <w:szCs w:val="18"/>
              </w:rPr>
              <w:t>ISO 23150、GB 5768、IEEE 802.11p、C-V2X、ROS 2、CAN FD</w:t>
            </w:r>
            <w:r>
              <w:rPr>
                <w:rFonts w:hint="eastAsia" w:ascii="宋体" w:hAnsi="宋体" w:eastAsia="宋体" w:cs="宋体"/>
                <w:sz w:val="18"/>
                <w:szCs w:val="18"/>
              </w:rPr>
              <w:t>和</w:t>
            </w:r>
            <w:r>
              <w:rPr>
                <w:rFonts w:hint="default" w:ascii="Times New Roman" w:hAnsi="Times New Roman" w:eastAsia="宋体" w:cs="Times New Roman"/>
                <w:sz w:val="18"/>
                <w:szCs w:val="18"/>
              </w:rPr>
              <w:t>OpenSCENARIO</w:t>
            </w:r>
            <w:r>
              <w:rPr>
                <w:rFonts w:hint="eastAsia" w:ascii="宋体" w:hAnsi="宋体" w:eastAsia="宋体" w:cs="宋体"/>
                <w:sz w:val="18"/>
                <w:szCs w:val="18"/>
              </w:rPr>
              <w:t>等引用。</w:t>
            </w:r>
          </w:p>
        </w:tc>
        <w:tc>
          <w:tcPr>
            <w:tcW w:w="1050" w:type="dxa"/>
            <w:tcMar>
              <w:top w:w="70" w:type="dxa"/>
              <w:left w:w="90" w:type="dxa"/>
              <w:bottom w:w="70" w:type="dxa"/>
              <w:right w:w="90" w:type="dxa"/>
            </w:tcMar>
          </w:tcPr>
          <w:p w14:paraId="3B306B9D">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4B9D42DF">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已开展主要引用文件核对；正文采用的版本和引用属性按第2章、5.2条执行。</w:t>
            </w:r>
          </w:p>
        </w:tc>
      </w:tr>
      <w:tr w14:paraId="3FFE9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0F949F61">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评价范围与测试模式</w:t>
            </w:r>
          </w:p>
        </w:tc>
        <w:tc>
          <w:tcPr>
            <w:tcW w:w="2550" w:type="dxa"/>
            <w:tcMar>
              <w:top w:w="70" w:type="dxa"/>
              <w:left w:w="90" w:type="dxa"/>
              <w:bottom w:w="70" w:type="dxa"/>
              <w:right w:w="90" w:type="dxa"/>
            </w:tcMar>
          </w:tcPr>
          <w:p w14:paraId="53B30329">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建议明确整体、模块、接口边界及SIL/HIL/VIL等测试方式。</w:t>
            </w:r>
          </w:p>
        </w:tc>
        <w:tc>
          <w:tcPr>
            <w:tcW w:w="1050" w:type="dxa"/>
            <w:tcMar>
              <w:top w:w="70" w:type="dxa"/>
              <w:left w:w="90" w:type="dxa"/>
              <w:bottom w:w="70" w:type="dxa"/>
              <w:right w:w="90" w:type="dxa"/>
            </w:tcMar>
          </w:tcPr>
          <w:p w14:paraId="158D1B35">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6159758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第1章和第4章已明确范围及测试方式，模块组合和权重按评价目的、应用场景记录。</w:t>
            </w:r>
          </w:p>
        </w:tc>
      </w:tr>
      <w:tr w14:paraId="09B04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25A0671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DMS与乘员舱</w:t>
            </w:r>
          </w:p>
        </w:tc>
        <w:tc>
          <w:tcPr>
            <w:tcW w:w="2550" w:type="dxa"/>
            <w:tcMar>
              <w:top w:w="70" w:type="dxa"/>
              <w:left w:w="90" w:type="dxa"/>
              <w:bottom w:w="70" w:type="dxa"/>
              <w:right w:w="90" w:type="dxa"/>
            </w:tcMar>
          </w:tcPr>
          <w:p w14:paraId="159F1B1F">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建议考虑驾驶员和乘员状态、疲劳及分心等能力。</w:t>
            </w:r>
          </w:p>
        </w:tc>
        <w:tc>
          <w:tcPr>
            <w:tcW w:w="1050" w:type="dxa"/>
            <w:tcMar>
              <w:top w:w="70" w:type="dxa"/>
              <w:left w:w="90" w:type="dxa"/>
              <w:bottom w:w="70" w:type="dxa"/>
              <w:right w:w="90" w:type="dxa"/>
            </w:tcMar>
          </w:tcPr>
          <w:p w14:paraId="13E0383A">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未纳入（范围边界）</w:t>
            </w:r>
          </w:p>
        </w:tc>
        <w:tc>
          <w:tcPr>
            <w:tcW w:w="3888" w:type="dxa"/>
            <w:tcMar>
              <w:top w:w="70" w:type="dxa"/>
              <w:left w:w="90" w:type="dxa"/>
              <w:bottom w:w="70" w:type="dxa"/>
              <w:right w:w="90" w:type="dxa"/>
            </w:tcMar>
          </w:tcPr>
          <w:p w14:paraId="1BD9B2E2">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本标准评价范围聚焦交通仿真测试软件，不包含DMS及乘员舱专项能力。</w:t>
            </w:r>
          </w:p>
        </w:tc>
      </w:tr>
      <w:tr w14:paraId="4C8F5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4AF596E6">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数据安全与隐私</w:t>
            </w:r>
          </w:p>
        </w:tc>
        <w:tc>
          <w:tcPr>
            <w:tcW w:w="2550" w:type="dxa"/>
            <w:tcMar>
              <w:top w:w="70" w:type="dxa"/>
              <w:left w:w="90" w:type="dxa"/>
              <w:bottom w:w="70" w:type="dxa"/>
              <w:right w:w="90" w:type="dxa"/>
            </w:tcMar>
          </w:tcPr>
          <w:p w14:paraId="4AAAE02D">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建议覆盖脱敏、加密、访问控制、审计、留存和删除。</w:t>
            </w:r>
          </w:p>
        </w:tc>
        <w:tc>
          <w:tcPr>
            <w:tcW w:w="1050" w:type="dxa"/>
            <w:tcMar>
              <w:top w:w="70" w:type="dxa"/>
              <w:left w:w="90" w:type="dxa"/>
              <w:bottom w:w="70" w:type="dxa"/>
              <w:right w:w="90" w:type="dxa"/>
            </w:tcMar>
          </w:tcPr>
          <w:p w14:paraId="18670A66">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44069BAF">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第4.6条已纳入数据传输与存储以及敏感信息脱敏或加密要求；访问控制、审计、留存等按适用法律法规或评价机构管理程序处理。</w:t>
            </w:r>
          </w:p>
        </w:tc>
      </w:tr>
      <w:tr w14:paraId="28DA7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3315B5D0">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评分细则与证据</w:t>
            </w:r>
          </w:p>
        </w:tc>
        <w:tc>
          <w:tcPr>
            <w:tcW w:w="2550" w:type="dxa"/>
            <w:tcMar>
              <w:top w:w="70" w:type="dxa"/>
              <w:left w:w="90" w:type="dxa"/>
              <w:bottom w:w="70" w:type="dxa"/>
              <w:right w:w="90" w:type="dxa"/>
            </w:tcMar>
          </w:tcPr>
          <w:p w14:paraId="62ECAC8D">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建议明确方法、采样、样本量、阈值、分档和专家规则。</w:t>
            </w:r>
          </w:p>
        </w:tc>
        <w:tc>
          <w:tcPr>
            <w:tcW w:w="1050" w:type="dxa"/>
            <w:tcMar>
              <w:top w:w="70" w:type="dxa"/>
              <w:left w:w="90" w:type="dxa"/>
              <w:bottom w:w="70" w:type="dxa"/>
              <w:right w:w="90" w:type="dxa"/>
            </w:tcMar>
          </w:tcPr>
          <w:p w14:paraId="2CA47BB5">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3D2AAA7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表3按五类模块列出典型指标和通用评价规则的评价方法、评分/判定依据及证据记录；第6.1至6.3条规定数据对比、专家评审和联合验证的适用关系。</w:t>
            </w:r>
          </w:p>
        </w:tc>
      </w:tr>
      <w:tr w14:paraId="09F7C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61137B7C">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指标与模型边界</w:t>
            </w:r>
          </w:p>
        </w:tc>
        <w:tc>
          <w:tcPr>
            <w:tcW w:w="2550" w:type="dxa"/>
            <w:tcMar>
              <w:top w:w="70" w:type="dxa"/>
              <w:left w:w="90" w:type="dxa"/>
              <w:bottom w:w="70" w:type="dxa"/>
              <w:right w:w="90" w:type="dxa"/>
            </w:tcMar>
          </w:tcPr>
          <w:p w14:paraId="43751BA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指出感知指标区间和模型、硬件仿真器边界需要澄清。</w:t>
            </w:r>
          </w:p>
        </w:tc>
        <w:tc>
          <w:tcPr>
            <w:tcW w:w="1050" w:type="dxa"/>
            <w:tcMar>
              <w:top w:w="70" w:type="dxa"/>
              <w:left w:w="90" w:type="dxa"/>
              <w:bottom w:w="70" w:type="dxa"/>
              <w:right w:w="90" w:type="dxa"/>
            </w:tcMar>
          </w:tcPr>
          <w:p w14:paraId="7EB2230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12F6326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已修正明显指标表述，模型边界按评价对象和试验记录区分。</w:t>
            </w:r>
          </w:p>
        </w:tc>
      </w:tr>
      <w:tr w14:paraId="7C103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0101ACD4">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等级边界</w:t>
            </w:r>
          </w:p>
        </w:tc>
        <w:tc>
          <w:tcPr>
            <w:tcW w:w="2550" w:type="dxa"/>
            <w:tcMar>
              <w:top w:w="70" w:type="dxa"/>
              <w:left w:w="90" w:type="dxa"/>
              <w:bottom w:w="70" w:type="dxa"/>
              <w:right w:w="90" w:type="dxa"/>
            </w:tcMar>
          </w:tcPr>
          <w:p w14:paraId="384FE6DB">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建议明确等级区间及模块低分对综合等级的影响。</w:t>
            </w:r>
          </w:p>
        </w:tc>
        <w:tc>
          <w:tcPr>
            <w:tcW w:w="1050" w:type="dxa"/>
            <w:tcMar>
              <w:top w:w="70" w:type="dxa"/>
              <w:left w:w="90" w:type="dxa"/>
              <w:bottom w:w="70" w:type="dxa"/>
              <w:right w:w="90" w:type="dxa"/>
            </w:tcMar>
          </w:tcPr>
          <w:p w14:paraId="6C582EFB">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0E0F4D2C">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第6.5条已明确等级结构和模块低分条件，按综合得分和模块条件判定。</w:t>
            </w:r>
          </w:p>
        </w:tc>
      </w:tr>
      <w:tr w14:paraId="545FF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1575C7AF">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权重与应用场景</w:t>
            </w:r>
          </w:p>
        </w:tc>
        <w:tc>
          <w:tcPr>
            <w:tcW w:w="2550" w:type="dxa"/>
            <w:tcMar>
              <w:top w:w="70" w:type="dxa"/>
              <w:left w:w="90" w:type="dxa"/>
              <w:bottom w:w="70" w:type="dxa"/>
              <w:right w:w="90" w:type="dxa"/>
            </w:tcMar>
          </w:tcPr>
          <w:p w14:paraId="627A33DA">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建议考虑法规、研发回归、第三方选型及HIL/VIL等用途。</w:t>
            </w:r>
          </w:p>
        </w:tc>
        <w:tc>
          <w:tcPr>
            <w:tcW w:w="1050" w:type="dxa"/>
            <w:tcMar>
              <w:top w:w="70" w:type="dxa"/>
              <w:left w:w="90" w:type="dxa"/>
              <w:bottom w:w="70" w:type="dxa"/>
              <w:right w:w="90" w:type="dxa"/>
            </w:tcMar>
          </w:tcPr>
          <w:p w14:paraId="052423A4">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5677FE34">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第6.5条给出推荐权重，评价报告列明应用场景及采用的权重。</w:t>
            </w:r>
          </w:p>
        </w:tc>
      </w:tr>
      <w:tr w14:paraId="13F28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7F9A2FA5">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流程、证据与报告</w:t>
            </w:r>
          </w:p>
        </w:tc>
        <w:tc>
          <w:tcPr>
            <w:tcW w:w="2550" w:type="dxa"/>
            <w:tcMar>
              <w:top w:w="70" w:type="dxa"/>
              <w:left w:w="90" w:type="dxa"/>
              <w:bottom w:w="70" w:type="dxa"/>
              <w:right w:w="90" w:type="dxa"/>
            </w:tcMar>
          </w:tcPr>
          <w:p w14:paraId="5922C24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建议明确对象、场景、数据、测试、复核、判定和报告要求。</w:t>
            </w:r>
          </w:p>
        </w:tc>
        <w:tc>
          <w:tcPr>
            <w:tcW w:w="1050" w:type="dxa"/>
            <w:tcMar>
              <w:top w:w="70" w:type="dxa"/>
              <w:left w:w="90" w:type="dxa"/>
              <w:bottom w:w="70" w:type="dxa"/>
              <w:right w:w="90" w:type="dxa"/>
            </w:tcMar>
          </w:tcPr>
          <w:p w14:paraId="25840904">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555AB585">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第6章已列出评价方法和步骤；评估报告要素在本编制说明7.2列明，标准正文未设置统一模板。</w:t>
            </w:r>
          </w:p>
        </w:tc>
      </w:tr>
      <w:tr w14:paraId="70633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5AE650CE">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有效期与版本变更</w:t>
            </w:r>
          </w:p>
        </w:tc>
        <w:tc>
          <w:tcPr>
            <w:tcW w:w="2550" w:type="dxa"/>
            <w:tcMar>
              <w:top w:w="70" w:type="dxa"/>
              <w:left w:w="90" w:type="dxa"/>
              <w:bottom w:w="70" w:type="dxa"/>
              <w:right w:w="90" w:type="dxa"/>
            </w:tcMar>
          </w:tcPr>
          <w:p w14:paraId="50B6D59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建议明确软件、模型、场景库、接口和数据变化后的复评规则。</w:t>
            </w:r>
          </w:p>
        </w:tc>
        <w:tc>
          <w:tcPr>
            <w:tcW w:w="1050" w:type="dxa"/>
            <w:tcMar>
              <w:top w:w="70" w:type="dxa"/>
              <w:left w:w="90" w:type="dxa"/>
              <w:bottom w:w="70" w:type="dxa"/>
              <w:right w:w="90" w:type="dxa"/>
            </w:tcMar>
          </w:tcPr>
          <w:p w14:paraId="112BD047">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58E1FAE6">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评价结论关联版本和应用条件；版本变更后的复核按本编制说明第7.2节、第8.4节提出的实施建议执行，需要重新评定等级的按标准正文第6章执行。</w:t>
            </w:r>
          </w:p>
        </w:tc>
      </w:tr>
      <w:tr w14:paraId="032CA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287C7268">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术语与措辞</w:t>
            </w:r>
          </w:p>
        </w:tc>
        <w:tc>
          <w:tcPr>
            <w:tcW w:w="2550" w:type="dxa"/>
            <w:tcMar>
              <w:top w:w="70" w:type="dxa"/>
              <w:left w:w="90" w:type="dxa"/>
              <w:bottom w:w="70" w:type="dxa"/>
              <w:right w:w="90" w:type="dxa"/>
            </w:tcMar>
          </w:tcPr>
          <w:p w14:paraId="493DBD26">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建议统一分类关系，减少宣传性和不可检验表述。</w:t>
            </w:r>
          </w:p>
        </w:tc>
        <w:tc>
          <w:tcPr>
            <w:tcW w:w="1050" w:type="dxa"/>
            <w:tcMar>
              <w:top w:w="70" w:type="dxa"/>
              <w:left w:w="90" w:type="dxa"/>
              <w:bottom w:w="70" w:type="dxa"/>
              <w:right w:w="90" w:type="dxa"/>
            </w:tcMar>
          </w:tcPr>
          <w:p w14:paraId="608E2B93">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492A9F43">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已精简术语并调整部分表述，正文按可观察、可测量要求核对。</w:t>
            </w:r>
          </w:p>
        </w:tc>
      </w:tr>
      <w:tr w14:paraId="2B61A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63024249">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附录与模板</w:t>
            </w:r>
          </w:p>
        </w:tc>
        <w:tc>
          <w:tcPr>
            <w:tcW w:w="2550" w:type="dxa"/>
            <w:tcMar>
              <w:top w:w="70" w:type="dxa"/>
              <w:left w:w="90" w:type="dxa"/>
              <w:bottom w:w="70" w:type="dxa"/>
              <w:right w:w="90" w:type="dxa"/>
            </w:tcMar>
          </w:tcPr>
          <w:p w14:paraId="68B5E0C2">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建议补充指标、场景、评分记录和报告模板。</w:t>
            </w:r>
          </w:p>
        </w:tc>
        <w:tc>
          <w:tcPr>
            <w:tcW w:w="1050" w:type="dxa"/>
            <w:tcMar>
              <w:top w:w="70" w:type="dxa"/>
              <w:left w:w="90" w:type="dxa"/>
              <w:bottom w:w="70" w:type="dxa"/>
              <w:right w:w="90" w:type="dxa"/>
            </w:tcMar>
          </w:tcPr>
          <w:p w14:paraId="247C5516">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50D8E1F7">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资料性附录A已形成；标准正文规定评价方法和证据要求，未设置统一评分记录或报告模板。</w:t>
            </w:r>
          </w:p>
        </w:tc>
      </w:tr>
      <w:tr w14:paraId="23597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450" w:type="dxa"/>
            <w:tcMar>
              <w:top w:w="70" w:type="dxa"/>
              <w:left w:w="90" w:type="dxa"/>
              <w:bottom w:w="70" w:type="dxa"/>
              <w:right w:w="90" w:type="dxa"/>
            </w:tcMar>
          </w:tcPr>
          <w:p w14:paraId="5CDDA8E8">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总体建议及方法提问</w:t>
            </w:r>
          </w:p>
        </w:tc>
        <w:tc>
          <w:tcPr>
            <w:tcW w:w="2550" w:type="dxa"/>
            <w:tcMar>
              <w:top w:w="70" w:type="dxa"/>
              <w:left w:w="90" w:type="dxa"/>
              <w:bottom w:w="70" w:type="dxa"/>
              <w:right w:w="90" w:type="dxa"/>
            </w:tcMar>
          </w:tcPr>
          <w:p w14:paraId="3EA5A200">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建议说明定量方法优先级及阈值依据。</w:t>
            </w:r>
          </w:p>
        </w:tc>
        <w:tc>
          <w:tcPr>
            <w:tcW w:w="1050" w:type="dxa"/>
            <w:tcMar>
              <w:top w:w="70" w:type="dxa"/>
              <w:left w:w="90" w:type="dxa"/>
              <w:bottom w:w="70" w:type="dxa"/>
              <w:right w:w="90" w:type="dxa"/>
            </w:tcMar>
          </w:tcPr>
          <w:p w14:paraId="7344AC0B">
            <w:pPr>
              <w:spacing w:line="240" w:lineRule="auto"/>
              <w:ind w:firstLine="0"/>
              <w:rPr>
                <w:rFonts w:hint="eastAsia" w:ascii="宋体" w:hAnsi="宋体" w:eastAsia="宋体" w:cs="宋体"/>
                <w:sz w:val="18"/>
                <w:szCs w:val="18"/>
              </w:rPr>
            </w:pPr>
            <w:r>
              <w:rPr>
                <w:rFonts w:hint="eastAsia" w:ascii="宋体" w:hAnsi="宋体" w:eastAsia="宋体" w:cs="宋体"/>
                <w:sz w:val="18"/>
                <w:szCs w:val="18"/>
              </w:rPr>
              <w:t>部分采纳</w:t>
            </w:r>
          </w:p>
        </w:tc>
        <w:tc>
          <w:tcPr>
            <w:tcW w:w="3888" w:type="dxa"/>
            <w:tcMar>
              <w:top w:w="70" w:type="dxa"/>
              <w:left w:w="90" w:type="dxa"/>
              <w:bottom w:w="70" w:type="dxa"/>
              <w:right w:w="90" w:type="dxa"/>
            </w:tcMar>
          </w:tcPr>
          <w:p w14:paraId="2C891E3B">
            <w:pPr>
              <w:spacing w:line="240" w:lineRule="auto"/>
              <w:ind w:firstLine="0"/>
              <w:rPr>
                <w:rFonts w:hint="eastAsia" w:ascii="宋体" w:hAnsi="宋体" w:eastAsia="宋体" w:cs="宋体"/>
                <w:sz w:val="18"/>
                <w:szCs w:val="18"/>
                <w:lang w:eastAsia="zh-CN"/>
              </w:rPr>
            </w:pPr>
            <w:r>
              <w:rPr>
                <w:rFonts w:hint="eastAsia" w:ascii="宋体" w:hAnsi="宋体" w:eastAsia="宋体" w:cs="宋体"/>
                <w:sz w:val="18"/>
                <w:szCs w:val="18"/>
                <w:lang w:eastAsia="zh-CN"/>
              </w:rPr>
              <w:t>表3将定量指标、定性指标及专家评审的评价方法和记录要求分开说明；定量阈值以正文明确数值为准，报告记录样本、工况、方法和适用边界。</w:t>
            </w:r>
          </w:p>
        </w:tc>
      </w:tr>
    </w:tbl>
    <w:p w14:paraId="3A3EE174">
      <w:pPr>
        <w:spacing w:after="40" w:line="240" w:lineRule="auto"/>
        <w:rPr>
          <w:rFonts w:hint="eastAsia" w:ascii="宋体" w:hAnsi="宋体" w:eastAsia="宋体" w:cs="宋体"/>
          <w:sz w:val="21"/>
          <w:szCs w:val="21"/>
          <w:lang w:eastAsia="zh-CN"/>
        </w:rPr>
      </w:pPr>
    </w:p>
    <w:p w14:paraId="195BF7A2">
      <w:pPr>
        <w:pStyle w:val="4"/>
        <w:spacing w:before="120" w:line="360" w:lineRule="auto"/>
        <w:rPr>
          <w:rFonts w:hint="eastAsia" w:ascii="黑体" w:hAnsi="黑体" w:eastAsia="黑体" w:cs="黑体"/>
          <w:b w:val="0"/>
          <w:bCs w:val="0"/>
          <w:sz w:val="21"/>
          <w:szCs w:val="21"/>
          <w:lang w:eastAsia="zh-CN"/>
        </w:rPr>
      </w:pPr>
      <w:bookmarkStart w:id="25" w:name="_Toc237075113"/>
      <w:r>
        <w:rPr>
          <w:rFonts w:hint="eastAsia" w:ascii="黑体" w:hAnsi="黑体" w:eastAsia="黑体" w:cs="黑体"/>
          <w:b w:val="0"/>
          <w:bCs w:val="0"/>
          <w:sz w:val="21"/>
          <w:szCs w:val="21"/>
          <w:lang w:eastAsia="zh-CN"/>
        </w:rPr>
        <w:t>6.2  处理结果说明</w:t>
      </w:r>
      <w:bookmarkEnd w:id="25"/>
    </w:p>
    <w:p w14:paraId="7837C92E">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本次编制主要完善了第4章总体评估框架、第5章专业能力指标、第6章评估实施与等级判定、资料性附录A以及术语、指标表述和全文版式；</w:t>
      </w: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附录A可信度证据要求与本标准专业能力评价的衔接关系已写入第4章、5.1、6.4、6.5和附录A。表5列明两份意见的处理结果和对应条款。</w:t>
      </w:r>
    </w:p>
    <w:p w14:paraId="0F2DE6EB">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评分、阈值和权重以标准正文已经规定的内容为准；正文未规定的参数、样本和统计条件，应在评价前明确并在报告中注明，不作为既定验证结论。评价报告应列明采用的方法、依据、适用条件和边界。数据安全判定按第4.6条记录，评估报告和测试模式组合按7.2条执行，软件版本、模型、接口、场景库或数据条件发生重大变化时，按8.4条重新确认评价对象和证据。</w:t>
      </w:r>
    </w:p>
    <w:p w14:paraId="6F008CED">
      <w:pPr>
        <w:pStyle w:val="3"/>
        <w:spacing w:before="200" w:after="80" w:line="360" w:lineRule="auto"/>
        <w:rPr>
          <w:rFonts w:hint="eastAsia" w:ascii="黑体" w:hAnsi="黑体" w:eastAsia="黑体" w:cs="黑体"/>
          <w:b w:val="0"/>
          <w:bCs w:val="0"/>
          <w:sz w:val="21"/>
          <w:szCs w:val="21"/>
          <w:lang w:eastAsia="zh-CN"/>
        </w:rPr>
      </w:pPr>
      <w:bookmarkStart w:id="26" w:name="_Toc237075114"/>
      <w:r>
        <w:rPr>
          <w:rFonts w:hint="eastAsia" w:ascii="黑体" w:hAnsi="黑体" w:eastAsia="黑体" w:cs="黑体"/>
          <w:b w:val="0"/>
          <w:bCs w:val="0"/>
          <w:sz w:val="21"/>
          <w:szCs w:val="21"/>
          <w:lang w:eastAsia="zh-CN"/>
        </w:rPr>
        <w:t>7  验证与实施</w:t>
      </w:r>
      <w:bookmarkEnd w:id="26"/>
    </w:p>
    <w:p w14:paraId="032B4BD9">
      <w:pPr>
        <w:pStyle w:val="4"/>
        <w:spacing w:before="120" w:line="360" w:lineRule="auto"/>
        <w:rPr>
          <w:rFonts w:hint="eastAsia" w:ascii="黑体" w:hAnsi="黑体" w:eastAsia="黑体" w:cs="黑体"/>
          <w:b w:val="0"/>
          <w:bCs w:val="0"/>
          <w:sz w:val="21"/>
          <w:szCs w:val="21"/>
          <w:lang w:eastAsia="zh-CN"/>
        </w:rPr>
      </w:pPr>
      <w:bookmarkStart w:id="27" w:name="_Toc237075115"/>
      <w:r>
        <w:rPr>
          <w:rFonts w:hint="eastAsia" w:ascii="黑体" w:hAnsi="黑体" w:eastAsia="黑体" w:cs="黑体"/>
          <w:b w:val="0"/>
          <w:bCs w:val="0"/>
          <w:sz w:val="21"/>
          <w:szCs w:val="21"/>
          <w:lang w:eastAsia="zh-CN"/>
        </w:rPr>
        <w:t>7.1  文件层面核查结果</w:t>
      </w:r>
      <w:bookmarkEnd w:id="27"/>
    </w:p>
    <w:p w14:paraId="2F097F1A">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起草组已完成第4章与第5章对应性检查、专家意见复核和处理记录整理，以及</w:t>
      </w:r>
      <w:r>
        <w:rPr>
          <w:rFonts w:hint="default" w:ascii="Times New Roman" w:hAnsi="Times New Roman" w:eastAsia="宋体" w:cs="Times New Roman"/>
          <w:sz w:val="21"/>
          <w:szCs w:val="21"/>
          <w:lang w:eastAsia="zh-CN"/>
        </w:rPr>
        <w:t>GB/T 47025—2026</w:t>
      </w:r>
      <w:r>
        <w:rPr>
          <w:rFonts w:hint="eastAsia" w:ascii="宋体" w:hAnsi="宋体" w:eastAsia="宋体" w:cs="宋体"/>
          <w:sz w:val="21"/>
          <w:szCs w:val="21"/>
          <w:lang w:eastAsia="zh-CN"/>
        </w:rPr>
        <w:t>附录A条款映射；核查结果已纳入本编制说明和标准条款对应关系。</w:t>
      </w:r>
    </w:p>
    <w:p w14:paraId="1A5DD5ED">
      <w:pPr>
        <w:pStyle w:val="4"/>
        <w:spacing w:before="120" w:line="360" w:lineRule="auto"/>
        <w:rPr>
          <w:rFonts w:hint="eastAsia" w:ascii="黑体" w:hAnsi="黑体" w:eastAsia="黑体" w:cs="黑体"/>
          <w:b w:val="0"/>
          <w:bCs w:val="0"/>
          <w:sz w:val="21"/>
          <w:szCs w:val="21"/>
          <w:lang w:eastAsia="zh-CN"/>
        </w:rPr>
      </w:pPr>
      <w:bookmarkStart w:id="28" w:name="_Toc237075116"/>
      <w:r>
        <w:rPr>
          <w:rFonts w:hint="eastAsia" w:ascii="黑体" w:hAnsi="黑体" w:eastAsia="黑体" w:cs="黑体"/>
          <w:b w:val="0"/>
          <w:bCs w:val="0"/>
          <w:sz w:val="21"/>
          <w:szCs w:val="21"/>
          <w:lang w:eastAsia="zh-CN"/>
        </w:rPr>
        <w:t>7.2  评价实施要求</w:t>
      </w:r>
      <w:bookmarkEnd w:id="28"/>
    </w:p>
    <w:p w14:paraId="1CE4A889">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开展评价时，评估方应先确定软件版本、工具链配置、模型范围、数据条件、预定应用场景和设计运行条件，再依据关键性评估结果确定需要核查的国标可信度要求。专业能力指标应按评价目的选择数据对比、专家评审或仿真—实车联合验证，保存基准数据、参数、随机种子、运行日志、计算脚本和结果文件。完成国标证据核查后，依据模块得分和综合判定规则形成评价等级。</w:t>
      </w:r>
    </w:p>
    <w:p w14:paraId="0B225588">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评估报告应说明对象和边界、软件版本和配置、适用场景、指标与权重、评价方法和数据、国标证据核查结果、模块得分、等级、限制条件及复评触发条件。评价记录应能够追溯到所用数据、参数、日志和结果文件。</w:t>
      </w:r>
    </w:p>
    <w:p w14:paraId="3F37FA01">
      <w:pPr>
        <w:pStyle w:val="3"/>
        <w:spacing w:before="200" w:after="80" w:line="360" w:lineRule="auto"/>
        <w:rPr>
          <w:rFonts w:hint="eastAsia" w:ascii="黑体" w:hAnsi="黑体" w:eastAsia="黑体" w:cs="黑体"/>
          <w:b w:val="0"/>
          <w:bCs w:val="0"/>
          <w:sz w:val="21"/>
          <w:szCs w:val="21"/>
          <w:lang w:eastAsia="zh-CN"/>
        </w:rPr>
      </w:pPr>
      <w:bookmarkStart w:id="29" w:name="_Toc237075117"/>
      <w:r>
        <w:rPr>
          <w:rFonts w:hint="eastAsia" w:ascii="黑体" w:hAnsi="黑体" w:eastAsia="黑体" w:cs="黑体"/>
          <w:b w:val="0"/>
          <w:bCs w:val="0"/>
          <w:sz w:val="21"/>
          <w:szCs w:val="21"/>
          <w:lang w:eastAsia="zh-CN"/>
        </w:rPr>
        <w:t>8  知识产权、法规关系和实施要求</w:t>
      </w:r>
      <w:bookmarkEnd w:id="29"/>
    </w:p>
    <w:p w14:paraId="617EC9A9">
      <w:pPr>
        <w:pStyle w:val="4"/>
        <w:spacing w:before="120" w:line="360" w:lineRule="auto"/>
        <w:rPr>
          <w:rFonts w:hint="eastAsia" w:ascii="黑体" w:hAnsi="黑体" w:eastAsia="黑体" w:cs="黑体"/>
          <w:b w:val="0"/>
          <w:bCs w:val="0"/>
          <w:sz w:val="21"/>
          <w:szCs w:val="21"/>
          <w:lang w:eastAsia="zh-CN"/>
        </w:rPr>
      </w:pPr>
      <w:bookmarkStart w:id="30" w:name="_Toc237075118"/>
      <w:r>
        <w:rPr>
          <w:rFonts w:hint="eastAsia" w:ascii="黑体" w:hAnsi="黑体" w:eastAsia="黑体" w:cs="黑体"/>
          <w:b w:val="0"/>
          <w:bCs w:val="0"/>
          <w:sz w:val="21"/>
          <w:szCs w:val="21"/>
          <w:lang w:eastAsia="zh-CN"/>
        </w:rPr>
        <w:t>8.1  知识产权</w:t>
      </w:r>
      <w:bookmarkEnd w:id="30"/>
    </w:p>
    <w:p w14:paraId="580B354E">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标准实施过程中，应按照发布机构适用程序开展专利信息披露和必要性核查。涉及可能构成必要技术方案的接口、算法或实现要求时，相关单位应及时提供信息，并依据程序处理许可和使用要求。</w:t>
      </w:r>
    </w:p>
    <w:p w14:paraId="4108D42B">
      <w:pPr>
        <w:pStyle w:val="4"/>
        <w:spacing w:before="120" w:line="360" w:lineRule="auto"/>
        <w:rPr>
          <w:rFonts w:hint="eastAsia" w:ascii="黑体" w:hAnsi="黑体" w:eastAsia="黑体" w:cs="黑体"/>
          <w:b w:val="0"/>
          <w:bCs w:val="0"/>
          <w:sz w:val="21"/>
          <w:szCs w:val="21"/>
          <w:lang w:eastAsia="zh-CN"/>
        </w:rPr>
      </w:pPr>
      <w:bookmarkStart w:id="31" w:name="_Toc237075119"/>
      <w:r>
        <w:rPr>
          <w:rFonts w:hint="eastAsia" w:ascii="黑体" w:hAnsi="黑体" w:eastAsia="黑体" w:cs="黑体"/>
          <w:b w:val="0"/>
          <w:bCs w:val="0"/>
          <w:sz w:val="21"/>
          <w:szCs w:val="21"/>
          <w:lang w:eastAsia="zh-CN"/>
        </w:rPr>
        <w:t>8.2  法规和强制性要求</w:t>
      </w:r>
      <w:bookmarkEnd w:id="31"/>
    </w:p>
    <w:p w14:paraId="0AC03F81">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标准的评价结果用于交通仿真测试软件在特定条件下的能力和可信度评价。自动驾驶功能道路试验、场地试验以及功能安全、预期功能安全、网络安全、数据安全和个人信息保护等专项评价，分别按照相应规定实施；相关核对结果在评价记录中说明。</w:t>
      </w:r>
    </w:p>
    <w:p w14:paraId="0C50EF17">
      <w:pPr>
        <w:pStyle w:val="4"/>
        <w:spacing w:before="120" w:line="360" w:lineRule="auto"/>
        <w:rPr>
          <w:rFonts w:hint="eastAsia" w:ascii="黑体" w:hAnsi="黑体" w:eastAsia="黑体" w:cs="黑体"/>
          <w:b w:val="0"/>
          <w:bCs w:val="0"/>
          <w:sz w:val="21"/>
          <w:szCs w:val="21"/>
          <w:lang w:eastAsia="zh-CN"/>
        </w:rPr>
      </w:pPr>
      <w:bookmarkStart w:id="32" w:name="_Toc237075120"/>
      <w:r>
        <w:rPr>
          <w:rFonts w:hint="eastAsia" w:ascii="黑体" w:hAnsi="黑体" w:eastAsia="黑体" w:cs="黑体"/>
          <w:b w:val="0"/>
          <w:bCs w:val="0"/>
          <w:sz w:val="21"/>
          <w:szCs w:val="21"/>
          <w:lang w:eastAsia="zh-CN"/>
        </w:rPr>
        <w:t>8.3  重大分歧</w:t>
      </w:r>
      <w:bookmarkEnd w:id="32"/>
    </w:p>
    <w:p w14:paraId="17F0F3D0">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本次编制围绕评价范围、指标体系、国标衔接、评分方法和附录安排完成条文核对和意见处理，具体结果见第6章；相关评价活动按本标准正文和适用的法律法规、强制性标准执行。</w:t>
      </w:r>
    </w:p>
    <w:p w14:paraId="11C63DB8">
      <w:pPr>
        <w:pStyle w:val="4"/>
        <w:spacing w:before="120" w:line="360" w:lineRule="auto"/>
        <w:rPr>
          <w:rFonts w:hint="eastAsia" w:ascii="黑体" w:hAnsi="黑体" w:eastAsia="黑体" w:cs="黑体"/>
          <w:b w:val="0"/>
          <w:bCs w:val="0"/>
          <w:sz w:val="21"/>
          <w:szCs w:val="21"/>
          <w:lang w:eastAsia="zh-CN"/>
        </w:rPr>
      </w:pPr>
      <w:bookmarkStart w:id="33" w:name="_Toc237075121"/>
      <w:r>
        <w:rPr>
          <w:rFonts w:hint="eastAsia" w:ascii="黑体" w:hAnsi="黑体" w:eastAsia="黑体" w:cs="黑体"/>
          <w:b w:val="0"/>
          <w:bCs w:val="0"/>
          <w:sz w:val="21"/>
          <w:szCs w:val="21"/>
          <w:lang w:eastAsia="zh-CN"/>
        </w:rPr>
        <w:t>8.4  实施安排</w:t>
      </w:r>
      <w:bookmarkEnd w:id="33"/>
    </w:p>
    <w:p w14:paraId="7D3A766F">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评价实施包括对象确认、国标证据核查、五类专业能力评分、人员培训和报告记录。试用应覆盖不同类型的交通仿真测试软件及典型</w:t>
      </w:r>
      <w:r>
        <w:rPr>
          <w:rFonts w:hint="default" w:ascii="Times New Roman" w:hAnsi="Times New Roman" w:eastAsia="宋体" w:cs="Times New Roman"/>
          <w:sz w:val="21"/>
          <w:szCs w:val="21"/>
          <w:lang w:eastAsia="zh-CN"/>
        </w:rPr>
        <w:t>SIL、HIL、VIL</w:t>
      </w:r>
      <w:r>
        <w:rPr>
          <w:rFonts w:hint="eastAsia" w:ascii="宋体" w:hAnsi="宋体" w:eastAsia="宋体" w:cs="宋体"/>
          <w:sz w:val="21"/>
          <w:szCs w:val="21"/>
          <w:lang w:eastAsia="zh-CN"/>
        </w:rPr>
        <w:t>或虚实结合任务，记录指标可测性、证据可获得性和等级区分度。软件版本、模型、接口、场景库或数据条件发生重大变化时，应重新确认评价对象、适用边界和可信度证据；需要重新评定等级的，按第6章重新开展证据核查和专业能力评分。</w:t>
      </w:r>
    </w:p>
    <w:p w14:paraId="46DE822D">
      <w:pPr>
        <w:spacing w:line="360" w:lineRule="auto"/>
        <w:ind w:firstLine="48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本编制说明与标准文本配套使用，为标准审查和实施提供依据</w:t>
      </w:r>
      <w:bookmarkStart w:id="34" w:name="_GoBack"/>
      <w:bookmarkEnd w:id="34"/>
      <w:r>
        <w:rPr>
          <w:rFonts w:hint="eastAsia" w:ascii="宋体" w:hAnsi="宋体" w:eastAsia="宋体" w:cs="宋体"/>
          <w:sz w:val="21"/>
          <w:szCs w:val="21"/>
          <w:lang w:eastAsia="zh-CN"/>
        </w:rPr>
        <w:t>。</w:t>
      </w:r>
    </w:p>
    <w:sectPr>
      <w:pgSz w:w="11906" w:h="16838"/>
      <w:pgMar w:top="1417" w:right="1417" w:bottom="1304" w:left="1417" w:header="680" w:footer="68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F143">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F5378">
    <w:pPr>
      <w:pStyle w:val="25"/>
      <w:jc w:val="center"/>
      <w:rPr>
        <w:rFonts w:hint="eastAsia"/>
      </w:rP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399D1">
    <w:pPr>
      <w:pStyle w:val="26"/>
      <w:jc w:val="center"/>
      <w:rPr>
        <w:rFonts w:hint="eastAsia"/>
        <w:lang w:eastAsia="zh-CN"/>
      </w:rPr>
    </w:pPr>
    <w:r>
      <w:rPr>
        <w:sz w:val="18"/>
        <w:lang w:eastAsia="zh-CN"/>
      </w:rPr>
      <w:t>《智能网联汽车交通仿真测试软件可信度评估》团体标准编制说明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仿宋_GB2312" w:hAnsi="仿宋_GB2312" w:eastAsia="仿宋_GB2312" w:cs="仿宋_GB2312"/>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仿宋_GB2312" w:hAnsi="仿宋_GB2312" w:eastAsia="仿宋_GB2312" w:cs="仿宋_GB2312"/>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仿宋_GB2312" w:hAnsi="仿宋_GB2312" w:eastAsia="仿宋_GB2312" w:cs="仿宋_GB2312"/>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CC5"/>
    <w:rsid w:val="0008279E"/>
    <w:rsid w:val="001C2B1F"/>
    <w:rsid w:val="002122A2"/>
    <w:rsid w:val="003835D1"/>
    <w:rsid w:val="003B4BCB"/>
    <w:rsid w:val="003E0252"/>
    <w:rsid w:val="004963F4"/>
    <w:rsid w:val="004E70D2"/>
    <w:rsid w:val="005E3541"/>
    <w:rsid w:val="005F6CF0"/>
    <w:rsid w:val="0062140E"/>
    <w:rsid w:val="00A117A3"/>
    <w:rsid w:val="00A57C08"/>
    <w:rsid w:val="00B262A7"/>
    <w:rsid w:val="00B86F4F"/>
    <w:rsid w:val="00BE0FB7"/>
    <w:rsid w:val="00C229BE"/>
    <w:rsid w:val="00C95DF7"/>
    <w:rsid w:val="00DF6D8D"/>
    <w:rsid w:val="00E13EDF"/>
    <w:rsid w:val="00E70AFC"/>
    <w:rsid w:val="00EA490B"/>
    <w:rsid w:val="00FC5CC5"/>
    <w:rsid w:val="092403B3"/>
    <w:rsid w:val="10C1473A"/>
    <w:rsid w:val="1BA97B47"/>
    <w:rsid w:val="3E7F507B"/>
    <w:rsid w:val="4F37228C"/>
    <w:rsid w:val="51EE3DBE"/>
    <w:rsid w:val="53807122"/>
    <w:rsid w:val="53FF395E"/>
    <w:rsid w:val="54252EA6"/>
    <w:rsid w:val="5A2C0443"/>
    <w:rsid w:val="5B871FB5"/>
    <w:rsid w:val="60524F1E"/>
    <w:rsid w:val="64033FC2"/>
    <w:rsid w:val="66333C59"/>
    <w:rsid w:val="6AB17091"/>
    <w:rsid w:val="6BA019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_GB2312" w:hAnsi="仿宋_GB2312" w:eastAsia="仿宋_GB2312" w:cs="仿宋_GB2312"/>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ind w:firstLine="420"/>
    </w:pPr>
    <w:rPr>
      <w:rFonts w:ascii="仿宋_GB2312" w:hAnsi="仿宋_GB2312" w:eastAsia="仿宋_GB2312" w:cs="仿宋_GB2312"/>
      <w:color w:val="000000"/>
      <w:sz w:val="24"/>
      <w:szCs w:val="22"/>
      <w:lang w:val="en-US" w:eastAsia="en-US" w:bidi="ar-SA"/>
    </w:rPr>
  </w:style>
  <w:style w:type="paragraph" w:styleId="3">
    <w:name w:val="heading 1"/>
    <w:basedOn w:val="1"/>
    <w:next w:val="1"/>
    <w:link w:val="142"/>
    <w:qFormat/>
    <w:uiPriority w:val="9"/>
    <w:pPr>
      <w:keepNext/>
      <w:keepLines/>
      <w:spacing w:before="240" w:after="120" w:line="288" w:lineRule="auto"/>
      <w:ind w:firstLine="0"/>
      <w:outlineLvl w:val="0"/>
    </w:pPr>
    <w:rPr>
      <w:b/>
      <w:bCs/>
      <w:sz w:val="32"/>
      <w:szCs w:val="28"/>
    </w:rPr>
  </w:style>
  <w:style w:type="paragraph" w:styleId="4">
    <w:name w:val="heading 2"/>
    <w:basedOn w:val="1"/>
    <w:next w:val="1"/>
    <w:link w:val="143"/>
    <w:unhideWhenUsed/>
    <w:qFormat/>
    <w:uiPriority w:val="9"/>
    <w:pPr>
      <w:keepNext/>
      <w:keepLines/>
      <w:spacing w:before="160" w:after="80" w:line="288" w:lineRule="auto"/>
      <w:ind w:firstLine="0"/>
      <w:outlineLvl w:val="1"/>
    </w:pPr>
    <w:rPr>
      <w:b/>
      <w:bCs/>
      <w:sz w:val="28"/>
      <w:szCs w:val="26"/>
    </w:rPr>
  </w:style>
  <w:style w:type="paragraph" w:styleId="5">
    <w:name w:val="heading 3"/>
    <w:basedOn w:val="1"/>
    <w:next w:val="1"/>
    <w:link w:val="144"/>
    <w:unhideWhenUsed/>
    <w:qFormat/>
    <w:uiPriority w:val="9"/>
    <w:pPr>
      <w:keepNext/>
      <w:keepLines/>
      <w:spacing w:before="120" w:after="60" w:line="288" w:lineRule="auto"/>
      <w:ind w:firstLine="0"/>
      <w:outlineLvl w:val="2"/>
    </w:pPr>
    <w:rPr>
      <w:b/>
      <w:bCs/>
    </w:rPr>
  </w:style>
  <w:style w:type="paragraph" w:styleId="6">
    <w:name w:val="heading 4"/>
    <w:basedOn w:val="1"/>
    <w:next w:val="1"/>
    <w:link w:val="154"/>
    <w:semiHidden/>
    <w:unhideWhenUsed/>
    <w:qFormat/>
    <w:uiPriority w:val="9"/>
    <w:pPr>
      <w:keepNext/>
      <w:keepLines/>
      <w:spacing w:before="200"/>
      <w:outlineLvl w:val="3"/>
    </w:pPr>
    <w:rPr>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outlineLvl w:val="4"/>
    </w:pPr>
    <w:rPr>
      <w:color w:val="254061" w:themeColor="accent1" w:themeShade="80"/>
    </w:rPr>
  </w:style>
  <w:style w:type="paragraph" w:styleId="8">
    <w:name w:val="heading 6"/>
    <w:basedOn w:val="1"/>
    <w:next w:val="1"/>
    <w:link w:val="156"/>
    <w:semiHidden/>
    <w:unhideWhenUsed/>
    <w:qFormat/>
    <w:uiPriority w:val="9"/>
    <w:pPr>
      <w:keepNext/>
      <w:keepLines/>
      <w:spacing w:before="200"/>
      <w:outlineLvl w:val="5"/>
    </w:pPr>
    <w:rPr>
      <w:i/>
      <w:iCs/>
      <w:color w:val="254061" w:themeColor="accent1" w:themeShade="80"/>
    </w:rPr>
  </w:style>
  <w:style w:type="paragraph" w:styleId="9">
    <w:name w:val="heading 7"/>
    <w:basedOn w:val="1"/>
    <w:next w:val="1"/>
    <w:link w:val="157"/>
    <w:semiHidden/>
    <w:unhideWhenUsed/>
    <w:qFormat/>
    <w:uiPriority w:val="9"/>
    <w:pPr>
      <w:keepNext/>
      <w:keepLines/>
      <w:spacing w:before="200"/>
      <w:outlineLvl w:val="6"/>
    </w:pPr>
    <w:rPr>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outlineLvl w:val="7"/>
    </w:pPr>
    <w:rPr>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outlineLvl w:val="8"/>
    </w:pPr>
    <w:rPr>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仿宋_GB2312" w:hAnsi="仿宋_GB2312" w:eastAsia="仿宋_GB2312" w:cs="仿宋_GB2312"/>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50"/>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8"/>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toc 3"/>
    <w:basedOn w:val="1"/>
    <w:next w:val="1"/>
    <w:autoRedefine/>
    <w:semiHidden/>
    <w:unhideWhenUsed/>
    <w:qFormat/>
    <w:uiPriority w:val="39"/>
    <w:pPr>
      <w:ind w:left="840" w:leftChars="400"/>
    </w:pPr>
  </w:style>
  <w:style w:type="paragraph" w:styleId="25">
    <w:name w:val="footer"/>
    <w:basedOn w:val="1"/>
    <w:link w:val="140"/>
    <w:unhideWhenUsed/>
    <w:qFormat/>
    <w:uiPriority w:val="99"/>
    <w:pPr>
      <w:tabs>
        <w:tab w:val="center" w:pos="4680"/>
        <w:tab w:val="right" w:pos="9360"/>
      </w:tabs>
      <w:spacing w:line="240" w:lineRule="auto"/>
    </w:pPr>
  </w:style>
  <w:style w:type="paragraph" w:styleId="26">
    <w:name w:val="header"/>
    <w:basedOn w:val="1"/>
    <w:link w:val="139"/>
    <w:unhideWhenUsed/>
    <w:qFormat/>
    <w:uiPriority w:val="99"/>
    <w:pPr>
      <w:tabs>
        <w:tab w:val="center" w:pos="4680"/>
        <w:tab w:val="right" w:pos="9360"/>
      </w:tabs>
      <w:spacing w:line="240" w:lineRule="auto"/>
    </w:pPr>
  </w:style>
  <w:style w:type="paragraph" w:styleId="27">
    <w:name w:val="toc 1"/>
    <w:basedOn w:val="1"/>
    <w:next w:val="1"/>
    <w:autoRedefine/>
    <w:unhideWhenUsed/>
    <w:qFormat/>
    <w:uiPriority w:val="39"/>
  </w:style>
  <w:style w:type="paragraph" w:styleId="28">
    <w:name w:val="Subtitle"/>
    <w:basedOn w:val="1"/>
    <w:next w:val="1"/>
    <w:link w:val="146"/>
    <w:qFormat/>
    <w:uiPriority w:val="11"/>
    <w:pPr>
      <w:ind w:firstLine="420"/>
    </w:pPr>
    <w:rPr>
      <w:i/>
      <w:iCs/>
      <w:color w:val="4F81BD" w:themeColor="accent1"/>
      <w:spacing w:val="15"/>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autoRedefine/>
    <w:unhideWhenUsed/>
    <w:qFormat/>
    <w:uiPriority w:val="39"/>
    <w:pPr>
      <w:ind w:left="420" w:leftChars="200"/>
    </w:p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5"/>
    <w:qFormat/>
    <w:uiPriority w:val="10"/>
    <w:pPr>
      <w:keepNext/>
      <w:pBdr>
        <w:bottom w:val="single" w:color="4F81BD" w:themeColor="accent1" w:sz="8" w:space="4"/>
      </w:pBdr>
      <w:spacing w:line="288" w:lineRule="auto"/>
      <w:ind w:firstLine="0"/>
      <w:contextualSpacing/>
    </w:pPr>
    <w:rPr>
      <w:b/>
      <w:spacing w:val="5"/>
      <w:kern w:val="28"/>
      <w:sz w:val="36"/>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仿宋_GB2312" w:hAnsi="仿宋_GB2312" w:eastAsia="仿宋_GB2312" w:cs="仿宋_GB2312"/>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仿宋_GB2312" w:hAnsi="仿宋_GB2312" w:eastAsia="仿宋_GB2312" w:cs="仿宋_GB2312"/>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仿宋_GB2312" w:hAnsi="仿宋_GB2312" w:eastAsia="仿宋_GB2312" w:cs="仿宋_GB2312"/>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仿宋_GB2312" w:hAnsi="仿宋_GB2312" w:eastAsia="仿宋_GB2312" w:cs="仿宋_GB2312"/>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仿宋_GB2312" w:hAnsi="仿宋_GB2312" w:eastAsia="仿宋_GB2312" w:cs="仿宋_GB2312"/>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仿宋_GB2312" w:hAnsi="仿宋_GB2312" w:eastAsia="仿宋_GB2312" w:cs="仿宋_GB2312"/>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仿宋_GB2312" w:hAnsi="仿宋_GB2312" w:eastAsia="仿宋_GB2312" w:cs="仿宋_GB2312"/>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仿宋_GB2312" w:hAnsi="仿宋_GB2312" w:eastAsia="仿宋_GB2312" w:cs="仿宋_GB2312"/>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仿宋_GB2312" w:hAnsi="仿宋_GB2312" w:eastAsia="仿宋_GB2312" w:cs="仿宋_GB2312"/>
        <w:b/>
        <w:bCs/>
      </w:rPr>
    </w:tblStylePr>
    <w:tblStylePr w:type="lastCol">
      <w:rPr>
        <w:rFonts w:ascii="仿宋_GB2312" w:hAnsi="仿宋_GB2312" w:eastAsia="仿宋_GB2312" w:cs="仿宋_GB2312"/>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仿宋_GB2312" w:hAnsi="仿宋_GB2312" w:eastAsia="仿宋_GB2312" w:cs="仿宋_GB2312"/>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仿宋_GB2312" w:hAnsi="仿宋_GB2312" w:eastAsia="仿宋_GB2312" w:cs="仿宋_GB2312"/>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仿宋_GB2312" w:hAnsi="仿宋_GB2312" w:eastAsia="仿宋_GB2312" w:cs="仿宋_GB2312"/>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仿宋_GB2312" w:hAnsi="仿宋_GB2312" w:eastAsia="仿宋_GB2312" w:cs="仿宋_GB2312"/>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仿宋_GB2312" w:hAnsi="仿宋_GB2312" w:eastAsia="仿宋_GB2312" w:cs="仿宋_GB2312"/>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仿宋_GB2312" w:hAnsi="仿宋_GB2312" w:eastAsia="仿宋_GB2312" w:cs="仿宋_GB2312"/>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仿宋_GB2312" w:hAnsi="仿宋_GB2312" w:eastAsia="仿宋_GB2312" w:cs="仿宋_GB2312"/>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styleId="138">
    <w:name w:val="Hyperlink"/>
    <w:basedOn w:val="135"/>
    <w:unhideWhenUsed/>
    <w:qFormat/>
    <w:uiPriority w:val="99"/>
    <w:rPr>
      <w:color w:val="0000FF" w:themeColor="hyperlink"/>
      <w:u w:val="single"/>
      <w14:textFill>
        <w14:solidFill>
          <w14:schemeClr w14:val="hlink"/>
        </w14:solidFill>
      </w14:textFill>
    </w:rPr>
  </w:style>
  <w:style w:type="character" w:customStyle="1" w:styleId="139">
    <w:name w:val="页眉 字符"/>
    <w:basedOn w:val="135"/>
    <w:link w:val="26"/>
    <w:qFormat/>
    <w:uiPriority w:val="99"/>
  </w:style>
  <w:style w:type="character" w:customStyle="1" w:styleId="140">
    <w:name w:val="页脚 字符"/>
    <w:basedOn w:val="135"/>
    <w:link w:val="25"/>
    <w:qFormat/>
    <w:uiPriority w:val="99"/>
  </w:style>
  <w:style w:type="paragraph" w:styleId="141">
    <w:name w:val="No Spacing"/>
    <w:qFormat/>
    <w:uiPriority w:val="1"/>
    <w:pPr>
      <w:spacing w:after="0" w:line="240" w:lineRule="auto"/>
    </w:pPr>
    <w:rPr>
      <w:rFonts w:ascii="仿宋_GB2312" w:hAnsi="仿宋_GB2312" w:eastAsia="仿宋_GB2312" w:cs="仿宋_GB2312"/>
      <w:sz w:val="22"/>
      <w:szCs w:val="22"/>
      <w:lang w:val="en-US" w:eastAsia="en-US" w:bidi="ar-SA"/>
    </w:rPr>
  </w:style>
  <w:style w:type="character" w:customStyle="1" w:styleId="142">
    <w:name w:val="标题 1 字符"/>
    <w:basedOn w:val="135"/>
    <w:link w:val="3"/>
    <w:qFormat/>
    <w:uiPriority w:val="9"/>
    <w:rPr>
      <w:rFonts w:ascii="仿宋_GB2312" w:hAnsi="仿宋_GB2312" w:eastAsia="仿宋_GB2312" w:cs="仿宋_GB2312"/>
      <w:b/>
      <w:bCs/>
      <w:color w:val="000000"/>
      <w:sz w:val="32"/>
      <w:szCs w:val="28"/>
    </w:rPr>
  </w:style>
  <w:style w:type="character" w:customStyle="1" w:styleId="143">
    <w:name w:val="标题 2 字符"/>
    <w:basedOn w:val="135"/>
    <w:link w:val="4"/>
    <w:qFormat/>
    <w:uiPriority w:val="9"/>
    <w:rPr>
      <w:rFonts w:ascii="仿宋_GB2312" w:hAnsi="仿宋_GB2312" w:eastAsia="仿宋_GB2312" w:cs="仿宋_GB2312"/>
      <w:b/>
      <w:bCs/>
      <w:color w:val="000000"/>
      <w:sz w:val="28"/>
      <w:szCs w:val="26"/>
    </w:rPr>
  </w:style>
  <w:style w:type="character" w:customStyle="1" w:styleId="144">
    <w:name w:val="标题 3 字符"/>
    <w:basedOn w:val="135"/>
    <w:link w:val="5"/>
    <w:qFormat/>
    <w:uiPriority w:val="9"/>
    <w:rPr>
      <w:rFonts w:ascii="仿宋_GB2312" w:hAnsi="仿宋_GB2312" w:eastAsia="仿宋_GB2312" w:cs="仿宋_GB2312"/>
      <w:b/>
      <w:bCs/>
      <w:color w:val="000000"/>
      <w:sz w:val="24"/>
    </w:rPr>
  </w:style>
  <w:style w:type="character" w:customStyle="1" w:styleId="145">
    <w:name w:val="标题 字符"/>
    <w:basedOn w:val="135"/>
    <w:link w:val="34"/>
    <w:qFormat/>
    <w:uiPriority w:val="10"/>
    <w:rPr>
      <w:rFonts w:ascii="仿宋_GB2312" w:hAnsi="仿宋_GB2312" w:eastAsia="仿宋_GB2312" w:cs="仿宋_GB2312"/>
      <w:b/>
      <w:color w:val="000000"/>
      <w:spacing w:val="5"/>
      <w:kern w:val="28"/>
      <w:sz w:val="36"/>
      <w:szCs w:val="52"/>
    </w:rPr>
  </w:style>
  <w:style w:type="character" w:customStyle="1" w:styleId="146">
    <w:name w:val="副标题 字符"/>
    <w:basedOn w:val="135"/>
    <w:link w:val="28"/>
    <w:qFormat/>
    <w:uiPriority w:val="11"/>
    <w:rPr>
      <w:rFonts w:ascii="仿宋_GB2312" w:hAnsi="仿宋_GB2312" w:eastAsia="仿宋_GB2312" w:cs="仿宋_GB2312"/>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正文文本 字符"/>
    <w:basedOn w:val="135"/>
    <w:link w:val="19"/>
    <w:qFormat/>
    <w:uiPriority w:val="99"/>
  </w:style>
  <w:style w:type="character" w:customStyle="1" w:styleId="149">
    <w:name w:val="正文文本 2 字符"/>
    <w:basedOn w:val="135"/>
    <w:link w:val="31"/>
    <w:qFormat/>
    <w:uiPriority w:val="99"/>
  </w:style>
  <w:style w:type="character" w:customStyle="1" w:styleId="150">
    <w:name w:val="正文文本 3 字符"/>
    <w:basedOn w:val="135"/>
    <w:link w:val="17"/>
    <w:qFormat/>
    <w:uiPriority w:val="99"/>
    <w:rPr>
      <w:sz w:val="16"/>
      <w:szCs w:val="16"/>
    </w:rPr>
  </w:style>
  <w:style w:type="character" w:customStyle="1" w:styleId="151">
    <w:name w:val="宏文本 字符"/>
    <w:basedOn w:val="135"/>
    <w:link w:val="2"/>
    <w:qFormat/>
    <w:uiPriority w:val="99"/>
    <w:rPr>
      <w:rFonts w:ascii="仿宋_GB2312" w:hAnsi="仿宋_GB2312" w:eastAsia="仿宋_GB2312" w:cs="仿宋_GB2312"/>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引用 字符"/>
    <w:basedOn w:val="135"/>
    <w:link w:val="152"/>
    <w:qFormat/>
    <w:uiPriority w:val="29"/>
    <w:rPr>
      <w:i/>
      <w:iCs/>
      <w:color w:val="000000" w:themeColor="text1"/>
      <w14:textFill>
        <w14:solidFill>
          <w14:schemeClr w14:val="tx1"/>
        </w14:solidFill>
      </w14:textFill>
    </w:rPr>
  </w:style>
  <w:style w:type="character" w:customStyle="1" w:styleId="154">
    <w:name w:val="标题 4 字符"/>
    <w:basedOn w:val="135"/>
    <w:link w:val="6"/>
    <w:semiHidden/>
    <w:qFormat/>
    <w:uiPriority w:val="9"/>
    <w:rPr>
      <w:rFonts w:ascii="仿宋_GB2312" w:hAnsi="仿宋_GB2312" w:eastAsia="仿宋_GB2312" w:cs="仿宋_GB2312"/>
      <w:b/>
      <w:bCs/>
      <w:i/>
      <w:iCs/>
      <w:color w:val="4F81BD" w:themeColor="accent1"/>
      <w14:textFill>
        <w14:solidFill>
          <w14:schemeClr w14:val="accent1"/>
        </w14:solidFill>
      </w14:textFill>
    </w:rPr>
  </w:style>
  <w:style w:type="character" w:customStyle="1" w:styleId="155">
    <w:name w:val="标题 5 字符"/>
    <w:basedOn w:val="135"/>
    <w:link w:val="7"/>
    <w:semiHidden/>
    <w:qFormat/>
    <w:uiPriority w:val="9"/>
    <w:rPr>
      <w:rFonts w:ascii="仿宋_GB2312" w:hAnsi="仿宋_GB2312" w:eastAsia="仿宋_GB2312" w:cs="仿宋_GB2312"/>
      <w:color w:val="254061" w:themeColor="accent1" w:themeShade="80"/>
    </w:rPr>
  </w:style>
  <w:style w:type="character" w:customStyle="1" w:styleId="156">
    <w:name w:val="标题 6 字符"/>
    <w:basedOn w:val="135"/>
    <w:link w:val="8"/>
    <w:semiHidden/>
    <w:qFormat/>
    <w:uiPriority w:val="9"/>
    <w:rPr>
      <w:rFonts w:ascii="仿宋_GB2312" w:hAnsi="仿宋_GB2312" w:eastAsia="仿宋_GB2312" w:cs="仿宋_GB2312"/>
      <w:i/>
      <w:iCs/>
      <w:color w:val="254061" w:themeColor="accent1" w:themeShade="80"/>
    </w:rPr>
  </w:style>
  <w:style w:type="character" w:customStyle="1" w:styleId="157">
    <w:name w:val="标题 7 字符"/>
    <w:basedOn w:val="135"/>
    <w:link w:val="9"/>
    <w:semiHidden/>
    <w:qFormat/>
    <w:uiPriority w:val="9"/>
    <w:rPr>
      <w:rFonts w:ascii="仿宋_GB2312" w:hAnsi="仿宋_GB2312" w:eastAsia="仿宋_GB2312" w:cs="仿宋_GB2312"/>
      <w:i/>
      <w:iCs/>
      <w:color w:val="404040" w:themeColor="text1" w:themeTint="BF"/>
      <w14:textFill>
        <w14:solidFill>
          <w14:schemeClr w14:val="tx1">
            <w14:lumMod w14:val="75000"/>
            <w14:lumOff w14:val="25000"/>
          </w14:schemeClr>
        </w14:solidFill>
      </w14:textFill>
    </w:rPr>
  </w:style>
  <w:style w:type="character" w:customStyle="1" w:styleId="158">
    <w:name w:val="标题 8 字符"/>
    <w:basedOn w:val="135"/>
    <w:link w:val="10"/>
    <w:semiHidden/>
    <w:qFormat/>
    <w:uiPriority w:val="9"/>
    <w:rPr>
      <w:rFonts w:ascii="仿宋_GB2312" w:hAnsi="仿宋_GB2312" w:eastAsia="仿宋_GB2312" w:cs="仿宋_GB2312"/>
      <w:color w:val="4F81BD" w:themeColor="accent1"/>
      <w:sz w:val="20"/>
      <w:szCs w:val="20"/>
      <w14:textFill>
        <w14:solidFill>
          <w14:schemeClr w14:val="accent1"/>
        </w14:solidFill>
      </w14:textFill>
    </w:rPr>
  </w:style>
  <w:style w:type="character" w:customStyle="1" w:styleId="159">
    <w:name w:val="标题 9 字符"/>
    <w:basedOn w:val="135"/>
    <w:link w:val="11"/>
    <w:semiHidden/>
    <w:qFormat/>
    <w:uiPriority w:val="9"/>
    <w:rPr>
      <w:rFonts w:ascii="仿宋_GB2312" w:hAnsi="仿宋_GB2312" w:eastAsia="仿宋_GB2312" w:cs="仿宋_GB2312"/>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明显引用 字符"/>
    <w:basedOn w:val="135"/>
    <w:link w:val="160"/>
    <w:qFormat/>
    <w:uiPriority w:val="30"/>
    <w:rPr>
      <w:b/>
      <w:bCs/>
      <w:i/>
      <w:iCs/>
      <w:color w:val="4F81BD" w:themeColor="accent1"/>
      <w14:textFill>
        <w14:solidFill>
          <w14:schemeClr w14:val="accent1"/>
        </w14:solidFill>
      </w14:textFill>
    </w:rPr>
  </w:style>
  <w:style w:type="character" w:customStyle="1" w:styleId="162">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5"/>
    <w:qFormat/>
    <w:uiPriority w:val="21"/>
    <w:rPr>
      <w:b/>
      <w:bCs/>
      <w:i/>
      <w:iCs/>
      <w:color w:val="4F81BD" w:themeColor="accent1"/>
      <w14:textFill>
        <w14:solidFill>
          <w14:schemeClr w14:val="accent1"/>
        </w14:solidFill>
      </w14:textFill>
    </w:rPr>
  </w:style>
  <w:style w:type="character" w:customStyle="1" w:styleId="164">
    <w:name w:val="Subtle Reference"/>
    <w:basedOn w:val="135"/>
    <w:qFormat/>
    <w:uiPriority w:val="31"/>
    <w:rPr>
      <w:smallCaps/>
      <w:color w:val="C0504D" w:themeColor="accent2"/>
      <w:u w:val="single"/>
      <w14:textFill>
        <w14:solidFill>
          <w14:schemeClr w14:val="accent2"/>
        </w14:solidFill>
      </w14:textFill>
    </w:rPr>
  </w:style>
  <w:style w:type="character" w:customStyle="1" w:styleId="165">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5"/>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仿宋_GB2312"/>
        <a:ea typeface="仿宋_GB2312"/>
        <a:cs typeface="仿宋_GB2312"/>
        <a:font script="Jpan" typeface="仿宋_GB2312"/>
        <a:font script="Hang" typeface="仿宋_GB2312"/>
        <a:font script="Hans" typeface="仿宋_GB2312"/>
        <a:font script="Hant" typeface="仿宋_GB2312"/>
        <a:font script="Arab" typeface="仿宋_GB2312"/>
        <a:font script="Hebr" typeface="仿宋_GB2312"/>
        <a:font script="Thai" typeface="仿宋_GB2312"/>
        <a:font script="Ethi" typeface="仿宋_GB2312"/>
        <a:font script="Beng" typeface="仿宋_GB2312"/>
        <a:font script="Gujr" typeface="仿宋_GB2312"/>
        <a:font script="Khmr" typeface="仿宋_GB2312"/>
        <a:font script="Knda" typeface="仿宋_GB2312"/>
        <a:font script="Guru" typeface="仿宋_GB2312"/>
        <a:font script="Cans" typeface="仿宋_GB2312"/>
        <a:font script="Cher" typeface="仿宋_GB2312"/>
        <a:font script="Yiii" typeface="仿宋_GB2312"/>
        <a:font script="Tibt" typeface="仿宋_GB2312"/>
        <a:font script="Thaa" typeface="仿宋_GB2312"/>
        <a:font script="Deva" typeface="仿宋_GB2312"/>
        <a:font script="Telu" typeface="仿宋_GB2312"/>
        <a:font script="Taml" typeface="仿宋_GB2312"/>
        <a:font script="Syrc" typeface="仿宋_GB2312"/>
        <a:font script="Orya" typeface="仿宋_GB2312"/>
        <a:font script="Mlym" typeface="仿宋_GB2312"/>
        <a:font script="Laoo" typeface="仿宋_GB2312"/>
        <a:font script="Sinh" typeface="仿宋_GB2312"/>
        <a:font script="Mong" typeface="仿宋_GB2312"/>
        <a:font script="Viet" typeface="仿宋_GB2312"/>
        <a:font script="Uigh" typeface="仿宋_GB2312"/>
        <a:font script="Geor" typeface="仿宋_GB2312"/>
      </a:majorFont>
      <a:minorFont>
        <a:latin typeface="仿宋_GB2312"/>
        <a:ea typeface="仿宋_GB2312"/>
        <a:cs typeface="仿宋_GB2312"/>
        <a:font script="Jpan" typeface="仿宋_GB2312"/>
        <a:font script="Hang" typeface="仿宋_GB2312"/>
        <a:font script="Hans" typeface="仿宋_GB2312"/>
        <a:font script="Hant" typeface="仿宋_GB2312"/>
        <a:font script="Arab" typeface="仿宋_GB2312"/>
        <a:font script="Hebr" typeface="仿宋_GB2312"/>
        <a:font script="Thai" typeface="仿宋_GB2312"/>
        <a:font script="Ethi" typeface="仿宋_GB2312"/>
        <a:font script="Beng" typeface="仿宋_GB2312"/>
        <a:font script="Gujr" typeface="仿宋_GB2312"/>
        <a:font script="Khmr" typeface="仿宋_GB2312"/>
        <a:font script="Knda" typeface="仿宋_GB2312"/>
        <a:font script="Guru" typeface="仿宋_GB2312"/>
        <a:font script="Cans" typeface="仿宋_GB2312"/>
        <a:font script="Cher" typeface="仿宋_GB2312"/>
        <a:font script="Yiii" typeface="仿宋_GB2312"/>
        <a:font script="Tibt" typeface="仿宋_GB2312"/>
        <a:font script="Thaa" typeface="仿宋_GB2312"/>
        <a:font script="Deva" typeface="仿宋_GB2312"/>
        <a:font script="Telu" typeface="仿宋_GB2312"/>
        <a:font script="Taml" typeface="仿宋_GB2312"/>
        <a:font script="Syrc" typeface="仿宋_GB2312"/>
        <a:font script="Orya" typeface="仿宋_GB2312"/>
        <a:font script="Mlym" typeface="仿宋_GB2312"/>
        <a:font script="Laoo" typeface="仿宋_GB2312"/>
        <a:font script="Sinh" typeface="仿宋_GB2312"/>
        <a:font script="Mong" typeface="仿宋_GB2312"/>
        <a:font script="Viet" typeface="仿宋_GB2312"/>
        <a:font script="Uigh" typeface="仿宋_GB2312"/>
        <a:font script="Geor" typeface="仿宋_GB2312"/>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15</Pages>
  <Words>289</Words>
  <Characters>315</Characters>
  <Lines>114</Lines>
  <Paragraphs>32</Paragraphs>
  <TotalTime>5</TotalTime>
  <ScaleCrop>false</ScaleCrop>
  <LinksUpToDate>false</LinksUpToDate>
  <CharactersWithSpaces>320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2026-08-08T14:23:00Z</dcterms:created>
  <dc:creator>标准起草组</dc:creator>
  <cp:keywords>智能网联汽车,交通仿真测试软件,可信度评估,编制说明</cp:keywords>
  <cp:lastModifiedBy>高</cp:lastModifiedBy>
  <dcterms:modified xsi:type="dcterms:W3CDTF">2026-09-15T08:21:24Z</dcterms:modified>
  <dc:subject>送审阶段编制说明</dc:subject>
  <dc:title>《智能网联汽车交通仿真测试软件可信度评估》团体标准编制说明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eyJoZGlkIjoiMTFjMmQ3MjM3ZGM2NWNlMzBiNmI3MDNlMjc0OGI2NTEiLCJ1c2VySWQiOiIxNjcyMzUzNDUxIn0=</vt:lpwstr>
  </property>
  <property fmtid="{D5CDD505-2E9C-101B-9397-08002B2CF9AE}" pid="3" name="KSOProductBuildVer">
    <vt:lpwstr>2052-12.1.0.28505</vt:lpwstr>
  </property>
  <property fmtid="{D5CDD505-2E9C-101B-9397-08002B2CF9AE}" pid="4" name="ICV">
    <vt:lpwstr>9DB982B65BE74686BB7B3463DF4E194A_12</vt:lpwstr>
  </property>
</Properties>
</file>