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C3C7DCB" w14:textId="64B8FE93" w:rsidR="009B55B3" w:rsidRDefault="00850246">
      <w:pPr>
        <w:pStyle w:val="1"/>
      </w:pPr>
      <w:bookmarkStart w:id="0" w:name="tcsfsim-xxxx20xx"/>
      <w:r>
        <w:rPr>
          <w:noProof/>
        </w:rPr>
        <w:drawing>
          <wp:anchor distT="0" distB="0" distL="114300" distR="114300" simplePos="0" relativeHeight="251655168" behindDoc="0" locked="0" layoutInCell="1" allowOverlap="1" wp14:anchorId="269FEBB6" wp14:editId="19F59094">
            <wp:simplePos x="0" y="0"/>
            <wp:positionH relativeFrom="column">
              <wp:posOffset>4289682</wp:posOffset>
            </wp:positionH>
            <wp:positionV relativeFrom="paragraph">
              <wp:posOffset>225903</wp:posOffset>
            </wp:positionV>
            <wp:extent cx="926465" cy="920750"/>
            <wp:effectExtent l="0" t="0" r="0" b="0"/>
            <wp:wrapSquare wrapText="bothSides"/>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26465" cy="920750"/>
                    </a:xfrm>
                    <a:prstGeom prst="rect">
                      <a:avLst/>
                    </a:prstGeom>
                    <a:noFill/>
                  </pic:spPr>
                </pic:pic>
              </a:graphicData>
            </a:graphic>
            <wp14:sizeRelH relativeFrom="page">
              <wp14:pctWidth>0</wp14:pctWidth>
            </wp14:sizeRelH>
            <wp14:sizeRelV relativeFrom="page">
              <wp14:pctHeight>0</wp14:pctHeight>
            </wp14:sizeRelV>
          </wp:anchor>
        </w:drawing>
      </w:r>
      <w:r w:rsidR="00CC309B">
        <w:t>T/CSFSIM XXXX—20XX</w:t>
      </w:r>
    </w:p>
    <w:p w14:paraId="17B2AD64" w14:textId="77CBE910" w:rsidR="009B55B3" w:rsidRDefault="00CC309B">
      <w:pPr>
        <w:pStyle w:val="2"/>
      </w:pPr>
      <w:bookmarkStart w:id="1" w:name="ccs-t-40"/>
      <w:r>
        <w:t>CCS T 40</w:t>
      </w:r>
    </w:p>
    <w:p w14:paraId="31B6E506" w14:textId="507CDC6A" w:rsidR="00850246" w:rsidRDefault="00850246" w:rsidP="00850246">
      <w:bookmarkStart w:id="2" w:name="_GoBack"/>
      <w:bookmarkEnd w:id="2"/>
    </w:p>
    <w:p w14:paraId="6120A20D" w14:textId="17A6BC4F" w:rsidR="00850246" w:rsidRPr="00850246" w:rsidRDefault="00850246" w:rsidP="00850246"/>
    <w:p w14:paraId="7292E35C" w14:textId="6FB9354E" w:rsidR="00850246" w:rsidRDefault="00850246" w:rsidP="00850246">
      <w:r w:rsidRPr="00850246">
        <w:rPr>
          <w:rFonts w:hint="eastAsia"/>
          <w:noProof/>
        </w:rPr>
        <w:drawing>
          <wp:inline distT="0" distB="0" distL="0" distR="0" wp14:anchorId="2F3ED883" wp14:editId="16870182">
            <wp:extent cx="5553075" cy="1247775"/>
            <wp:effectExtent l="0" t="0" r="0" b="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578509" cy="1253490"/>
                    </a:xfrm>
                    <a:prstGeom prst="rect">
                      <a:avLst/>
                    </a:prstGeom>
                    <a:noFill/>
                    <a:ln>
                      <a:noFill/>
                    </a:ln>
                  </pic:spPr>
                </pic:pic>
              </a:graphicData>
            </a:graphic>
          </wp:inline>
        </w:drawing>
      </w:r>
    </w:p>
    <w:p w14:paraId="3DA22929" w14:textId="5E63A9BB" w:rsidR="00850246" w:rsidRPr="00850246" w:rsidRDefault="00850246" w:rsidP="00850246">
      <w:r>
        <w:rPr>
          <w:noProof/>
        </w:rPr>
        <w:drawing>
          <wp:inline distT="0" distB="0" distL="0" distR="0" wp14:anchorId="57087C1D" wp14:editId="6B867AA3">
            <wp:extent cx="6127115" cy="12065"/>
            <wp:effectExtent l="0" t="0" r="0" b="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127115" cy="12065"/>
                    </a:xfrm>
                    <a:prstGeom prst="rect">
                      <a:avLst/>
                    </a:prstGeom>
                    <a:noFill/>
                  </pic:spPr>
                </pic:pic>
              </a:graphicData>
            </a:graphic>
          </wp:inline>
        </w:drawing>
      </w:r>
    </w:p>
    <w:p w14:paraId="3300D881" w14:textId="77777777" w:rsidR="00850246" w:rsidRDefault="00850246">
      <w:pPr>
        <w:pStyle w:val="1"/>
      </w:pPr>
      <w:bookmarkStart w:id="3" w:name="智能网联汽车交通仿真测试软件可信度评估"/>
      <w:bookmarkEnd w:id="0"/>
      <w:bookmarkEnd w:id="1"/>
    </w:p>
    <w:p w14:paraId="103E3406" w14:textId="77777777" w:rsidR="00850246" w:rsidRDefault="00850246">
      <w:pPr>
        <w:pStyle w:val="1"/>
      </w:pPr>
    </w:p>
    <w:p w14:paraId="2F4930CD" w14:textId="77777777" w:rsidR="00850246" w:rsidRDefault="00CC309B" w:rsidP="00850246">
      <w:pPr>
        <w:pStyle w:val="1"/>
        <w:jc w:val="center"/>
      </w:pPr>
      <w:r>
        <w:rPr>
          <w:rFonts w:hint="eastAsia"/>
        </w:rPr>
        <w:t>智能网联汽车交通仿真测试软件</w:t>
      </w:r>
    </w:p>
    <w:p w14:paraId="3CB2843C" w14:textId="57A6A65D" w:rsidR="009B55B3" w:rsidRDefault="00CC309B" w:rsidP="00850246">
      <w:pPr>
        <w:pStyle w:val="1"/>
        <w:jc w:val="center"/>
      </w:pPr>
      <w:r>
        <w:rPr>
          <w:rFonts w:hint="eastAsia"/>
        </w:rPr>
        <w:t>可信度评估</w:t>
      </w:r>
    </w:p>
    <w:p w14:paraId="594A5FEA" w14:textId="77777777" w:rsidR="0080303C" w:rsidRPr="0080303C" w:rsidRDefault="00CC309B" w:rsidP="0080303C">
      <w:pPr>
        <w:pStyle w:val="FirstParagraph"/>
        <w:jc w:val="center"/>
        <w:rPr>
          <w:sz w:val="28"/>
          <w:szCs w:val="28"/>
        </w:rPr>
      </w:pPr>
      <w:r w:rsidRPr="0080303C">
        <w:rPr>
          <w:sz w:val="28"/>
          <w:szCs w:val="28"/>
        </w:rPr>
        <w:t xml:space="preserve">Credibility evaluation of traffic simulation testing software </w:t>
      </w:r>
    </w:p>
    <w:p w14:paraId="2787C066" w14:textId="74A42C74" w:rsidR="009B55B3" w:rsidRPr="0080303C" w:rsidRDefault="00CC309B" w:rsidP="0080303C">
      <w:pPr>
        <w:pStyle w:val="FirstParagraph"/>
        <w:jc w:val="center"/>
        <w:rPr>
          <w:sz w:val="28"/>
          <w:szCs w:val="28"/>
        </w:rPr>
      </w:pPr>
      <w:r w:rsidRPr="0080303C">
        <w:rPr>
          <w:sz w:val="28"/>
          <w:szCs w:val="28"/>
        </w:rPr>
        <w:t>for intelligent connected vehicles</w:t>
      </w:r>
    </w:p>
    <w:p w14:paraId="038FDB47" w14:textId="77777777" w:rsidR="0080303C" w:rsidRDefault="0080303C" w:rsidP="0080303C">
      <w:pPr>
        <w:widowControl/>
        <w:spacing w:after="200" w:line="240" w:lineRule="auto"/>
        <w:jc w:val="center"/>
      </w:pPr>
      <w:bookmarkStart w:id="4" w:name="目-次"/>
    </w:p>
    <w:p w14:paraId="4E434091" w14:textId="77777777" w:rsidR="0080303C" w:rsidRDefault="0080303C" w:rsidP="0080303C">
      <w:pPr>
        <w:widowControl/>
        <w:spacing w:after="200" w:line="240" w:lineRule="auto"/>
        <w:jc w:val="center"/>
      </w:pPr>
    </w:p>
    <w:p w14:paraId="7295D389" w14:textId="77777777" w:rsidR="0080303C" w:rsidRDefault="0080303C" w:rsidP="0080303C">
      <w:pPr>
        <w:widowControl/>
        <w:spacing w:after="200" w:line="240" w:lineRule="auto"/>
        <w:jc w:val="center"/>
      </w:pPr>
    </w:p>
    <w:p w14:paraId="02105BB9" w14:textId="6B230D5B" w:rsidR="0080303C" w:rsidRDefault="0080303C" w:rsidP="0080303C">
      <w:pPr>
        <w:framePr w:w="3997" w:h="471" w:hRule="exact" w:vSpace="181" w:wrap="around" w:vAnchor="page" w:hAnchor="page" w:x="1419" w:y="14415" w:anchorLock="1"/>
        <w:widowControl/>
        <w:rPr>
          <w:rFonts w:eastAsia="黑体"/>
          <w:kern w:val="0"/>
          <w:sz w:val="30"/>
          <w:szCs w:val="30"/>
        </w:rPr>
      </w:pPr>
      <w:r>
        <w:rPr>
          <w:rFonts w:ascii="黑体" w:eastAsia="黑体" w:hint="eastAsia"/>
          <w:kern w:val="0"/>
          <w:sz w:val="30"/>
          <w:szCs w:val="30"/>
        </w:rPr>
        <w:t>20XX-XX-XX 发布</w:t>
      </w:r>
    </w:p>
    <w:p w14:paraId="489B68F3" w14:textId="77777777" w:rsidR="0080303C" w:rsidRDefault="0080303C" w:rsidP="0080303C">
      <w:pPr>
        <w:framePr w:w="3997" w:h="471" w:hRule="exact" w:vSpace="181" w:wrap="around" w:vAnchor="page" w:hAnchor="page" w:x="7021" w:y="14427" w:anchorLock="1"/>
        <w:widowControl/>
        <w:jc w:val="right"/>
        <w:rPr>
          <w:rFonts w:eastAsia="黑体"/>
          <w:kern w:val="0"/>
          <w:sz w:val="30"/>
          <w:szCs w:val="30"/>
        </w:rPr>
      </w:pPr>
      <w:bookmarkStart w:id="5" w:name="SY"/>
      <w:r>
        <w:rPr>
          <w:rFonts w:ascii="黑体" w:eastAsia="黑体" w:hint="eastAsia"/>
          <w:kern w:val="0"/>
          <w:sz w:val="30"/>
          <w:szCs w:val="30"/>
        </w:rPr>
        <w:t>20XX-XX-XX 实施</w:t>
      </w:r>
      <w:bookmarkEnd w:id="5"/>
    </w:p>
    <w:bookmarkStart w:id="6" w:name="fm"/>
    <w:p w14:paraId="0D161A95" w14:textId="5BA38702" w:rsidR="0080303C" w:rsidRDefault="0080303C" w:rsidP="0080303C">
      <w:pPr>
        <w:framePr w:w="7938" w:h="574" w:hRule="exact" w:hSpace="125" w:vSpace="181" w:wrap="around" w:vAnchor="page" w:hAnchor="page" w:x="2138" w:y="15107" w:anchorLock="1"/>
        <w:widowControl/>
        <w:spacing w:line="0" w:lineRule="atLeast"/>
        <w:jc w:val="center"/>
        <w:rPr>
          <w:rFonts w:ascii="黑体" w:eastAsia="黑体"/>
          <w:spacing w:val="20"/>
          <w:w w:val="135"/>
          <w:kern w:val="0"/>
          <w:sz w:val="30"/>
          <w:szCs w:val="30"/>
        </w:rPr>
      </w:pPr>
      <w:r>
        <w:rPr>
          <w:noProof/>
        </w:rPr>
        <mc:AlternateContent>
          <mc:Choice Requires="wps">
            <w:drawing>
              <wp:anchor distT="0" distB="0" distL="114300" distR="114300" simplePos="0" relativeHeight="251664384" behindDoc="1" locked="0" layoutInCell="1" allowOverlap="1" wp14:anchorId="5FDD0D60" wp14:editId="6F138A0A">
                <wp:simplePos x="0" y="0"/>
                <wp:positionH relativeFrom="column">
                  <wp:posOffset>1810385</wp:posOffset>
                </wp:positionH>
                <wp:positionV relativeFrom="paragraph">
                  <wp:posOffset>-3942715</wp:posOffset>
                </wp:positionV>
                <wp:extent cx="1270000" cy="304800"/>
                <wp:effectExtent l="0" t="0" r="0" b="0"/>
                <wp:wrapNone/>
                <wp:docPr id="14" name="LB"/>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a:xfrm>
                          <a:off x="0" y="0"/>
                          <a:ext cx="1270000" cy="304800"/>
                        </a:xfrm>
                        <a:prstGeom prst="rect">
                          <a:avLst/>
                        </a:prstGeom>
                        <a:solidFill>
                          <a:srgbClr val="FFFFFF"/>
                        </a:solidFill>
                        <a:ln w="12700">
                          <a:noFill/>
                        </a:ln>
                      </wps:spPr>
                      <wps:bodyPr rot="0" vert="horz"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12C6ABEB" id="LB" o:spid="_x0000_s1026" style="position:absolute;left:0;text-align:left;margin-left:142.55pt;margin-top:-310.45pt;width:100pt;height:24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" stroked="f" strokeweight="1pt"/>
            </w:pict>
          </mc:Fallback>
        </mc:AlternateContent>
      </w:r>
      <w:r>
        <w:rPr>
          <w:noProof/>
        </w:rPr>
        <mc:AlternateContent>
          <mc:Choice Requires="wps">
            <w:drawing>
              <wp:anchor distT="0" distB="0" distL="114300" distR="114300" simplePos="0" relativeHeight="251663360" behindDoc="1" locked="0" layoutInCell="1" allowOverlap="1" wp14:anchorId="36324C45" wp14:editId="49974728">
                <wp:simplePos x="0" y="0"/>
                <wp:positionH relativeFrom="column">
                  <wp:posOffset>4413885</wp:posOffset>
                </wp:positionH>
                <wp:positionV relativeFrom="paragraph">
                  <wp:posOffset>-7435215</wp:posOffset>
                </wp:positionV>
                <wp:extent cx="1143000" cy="228600"/>
                <wp:effectExtent l="0" t="0" r="0" b="0"/>
                <wp:wrapNone/>
                <wp:docPr id="13" name="DT"/>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a:xfrm>
                          <a:off x="0" y="0"/>
                          <a:ext cx="1143000" cy="228600"/>
                        </a:xfrm>
                        <a:prstGeom prst="rect">
                          <a:avLst/>
                        </a:prstGeom>
                        <a:solidFill>
                          <a:srgbClr val="FFFFFF"/>
                        </a:solidFill>
                        <a:ln w="12700">
                          <a:noFill/>
                        </a:ln>
                      </wps:spPr>
                      <wps:bodyPr rot="0" vert="horz"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74F54E09" id="DT" o:spid="_x0000_s1026" style="position:absolute;left:0;text-align:left;margin-left:347.55pt;margin-top:-585.45pt;width:90pt;height:18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" stroked="f" strokeweight="1pt"/>
            </w:pict>
          </mc:Fallback>
        </mc:AlternateContent>
      </w:r>
      <w:bookmarkEnd w:id="6"/>
      <w:r>
        <w:rPr>
          <w:rFonts w:ascii="黑体" w:eastAsia="黑体" w:hint="eastAsia"/>
          <w:spacing w:val="20"/>
          <w:w w:val="135"/>
          <w:kern w:val="0"/>
          <w:sz w:val="30"/>
          <w:szCs w:val="30"/>
        </w:rPr>
        <w:t>中国仿真学会 发布</w:t>
      </w:r>
    </w:p>
    <w:p w14:paraId="70C65BC0" w14:textId="77777777" w:rsidR="0080303C" w:rsidRDefault="0080303C" w:rsidP="0080303C">
      <w:pPr>
        <w:widowControl/>
        <w:spacing w:before="357" w:line="280" w:lineRule="exact"/>
        <w:jc w:val="right"/>
        <w:rPr>
          <w:rFonts w:ascii="黑体" w:eastAsia="黑体"/>
          <w:kern w:val="0"/>
          <w:sz w:val="28"/>
          <w:szCs w:val="28"/>
        </w:rPr>
      </w:pPr>
    </w:p>
    <w:p w14:paraId="04BAD1A9" w14:textId="6D9F9530" w:rsidR="0080303C" w:rsidRDefault="0080303C" w:rsidP="0080303C">
      <w:pPr>
        <w:widowControl/>
        <w:spacing w:before="357" w:line="280" w:lineRule="exact"/>
        <w:rPr>
          <w:rFonts w:ascii="黑体" w:eastAsia="黑体"/>
          <w:kern w:val="0"/>
          <w:sz w:val="28"/>
          <w:szCs w:val="28"/>
        </w:rPr>
      </w:pPr>
      <w:r>
        <w:rPr>
          <w:noProof/>
        </w:rPr>
        <mc:AlternateContent>
          <mc:Choice Requires="wps">
            <w:drawing>
              <wp:anchor distT="4294967295" distB="4294967295" distL="114300" distR="114300" simplePos="0" relativeHeight="251661312" behindDoc="0" locked="0" layoutInCell="1" allowOverlap="1" wp14:anchorId="4AD44507" wp14:editId="08BA496D">
                <wp:simplePos x="0" y="0"/>
                <wp:positionH relativeFrom="column">
                  <wp:posOffset>-63500</wp:posOffset>
                </wp:positionH>
                <wp:positionV relativeFrom="paragraph">
                  <wp:posOffset>1206499</wp:posOffset>
                </wp:positionV>
                <wp:extent cx="6120130" cy="0"/>
                <wp:effectExtent l="0" t="0" r="0" b="0"/>
                <wp:wrapNone/>
                <wp:docPr id="12" name="Line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a:xfrm>
                          <a:off x="0" y="0"/>
                          <a:ext cx="6120130" cy="0"/>
                        </a:xfrm>
                        <a:prstGeom prst="line">
                          <a:avLst/>
                        </a:prstGeom>
                        <a:noFill/>
                        <a:ln w="9525">
                          <a:solidFill>
                            <a:srgbClr val="000000"/>
                          </a:solidFill>
                        </a:ln>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2A0E1428" id="Line 13" o:spid="_x0000_s1026" style="position:absolute;left:0;text-align:left;z-index:25166131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5pt,95pt" to="476.9pt,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"/>
            </w:pict>
          </mc:Fallback>
        </mc:AlternateContent>
      </w:r>
    </w:p>
    <w:p w14:paraId="0E09EC15" w14:textId="77777777" w:rsidR="0080303C" w:rsidRDefault="0080303C" w:rsidP="0080303C">
      <w:pPr>
        <w:widowControl/>
        <w:spacing w:before="357" w:line="280" w:lineRule="exact"/>
        <w:ind w:right="560"/>
        <w:jc w:val="right"/>
        <w:rPr>
          <w:rFonts w:ascii="黑体" w:eastAsia="黑体"/>
          <w:kern w:val="0"/>
          <w:sz w:val="28"/>
          <w:szCs w:val="28"/>
        </w:rPr>
      </w:pPr>
    </w:p>
    <w:p w14:paraId="2DB29123" w14:textId="77777777" w:rsidR="0080303C" w:rsidRDefault="0080303C" w:rsidP="0080303C">
      <w:pPr>
        <w:sectPr w:rsidR="0080303C">
          <w:headerReference w:type="even" r:id="rId11"/>
          <w:headerReference w:type="default" r:id="rId12"/>
          <w:headerReference w:type="first" r:id="rId13"/>
          <w:pgSz w:w="11906" w:h="16838"/>
          <w:pgMar w:top="567" w:right="1134" w:bottom="1134" w:left="1417" w:header="0" w:footer="0" w:gutter="0"/>
          <w:pgNumType w:start="1"/>
          <w:cols w:space="720"/>
          <w:docGrid w:type="lines" w:linePitch="312"/>
        </w:sectPr>
      </w:pPr>
    </w:p>
    <w:p w14:paraId="1DECD14A" w14:textId="2974ABE3" w:rsidR="009B55B3" w:rsidRDefault="00CC309B">
      <w:pPr>
        <w:pStyle w:val="2"/>
      </w:pPr>
      <w:r>
        <w:rPr>
          <w:rFonts w:hint="eastAsia"/>
        </w:rPr>
        <w:lastRenderedPageBreak/>
        <w:t>目</w:t>
      </w:r>
      <w:r>
        <w:t xml:space="preserve"> </w:t>
      </w:r>
      <w:r>
        <w:rPr>
          <w:rFonts w:hint="eastAsia"/>
        </w:rPr>
        <w:t>次</w:t>
      </w:r>
    </w:p>
    <w:p w14:paraId="2125BB42" w14:textId="77777777" w:rsidR="009B55B3" w:rsidRDefault="00CC309B">
      <w:pPr>
        <w:pStyle w:val="FirstParagraph"/>
      </w:pPr>
      <w:r>
        <w:rPr>
          <w:rFonts w:hint="eastAsia"/>
        </w:rPr>
        <w:t>前言</w:t>
      </w:r>
      <w:r>
        <w:t xml:space="preserve"> …… III</w:t>
      </w:r>
      <w:r>
        <w:br/>
        <w:t xml:space="preserve">1 </w:t>
      </w:r>
      <w:r>
        <w:rPr>
          <w:rFonts w:hint="eastAsia"/>
        </w:rPr>
        <w:t>范围</w:t>
      </w:r>
      <w:r>
        <w:t xml:space="preserve"> …… 1</w:t>
      </w:r>
      <w:r>
        <w:br/>
        <w:t xml:space="preserve">2 </w:t>
      </w:r>
      <w:r>
        <w:rPr>
          <w:rFonts w:hint="eastAsia"/>
        </w:rPr>
        <w:t>规范性引用文件</w:t>
      </w:r>
      <w:r>
        <w:t xml:space="preserve"> …… 1</w:t>
      </w:r>
      <w:r>
        <w:br/>
        <w:t xml:space="preserve">3 </w:t>
      </w:r>
      <w:r>
        <w:rPr>
          <w:rFonts w:hint="eastAsia"/>
        </w:rPr>
        <w:t>术语和定义、缩略语</w:t>
      </w:r>
      <w:r>
        <w:t xml:space="preserve"> …… 2</w:t>
      </w:r>
      <w:r>
        <w:br/>
        <w:t xml:space="preserve">3.1 </w:t>
      </w:r>
      <w:r>
        <w:rPr>
          <w:rFonts w:hint="eastAsia"/>
        </w:rPr>
        <w:t>术语和定义</w:t>
      </w:r>
      <w:r>
        <w:t xml:space="preserve"> …… 2</w:t>
      </w:r>
      <w:r>
        <w:br/>
        <w:t xml:space="preserve">3.2 </w:t>
      </w:r>
      <w:r>
        <w:rPr>
          <w:rFonts w:hint="eastAsia"/>
        </w:rPr>
        <w:t>缩略语</w:t>
      </w:r>
      <w:r>
        <w:t xml:space="preserve"> …… 2</w:t>
      </w:r>
      <w:r>
        <w:br/>
        <w:t xml:space="preserve">4 </w:t>
      </w:r>
      <w:r>
        <w:rPr>
          <w:rFonts w:hint="eastAsia"/>
        </w:rPr>
        <w:t>智能网联汽车交通仿真测试软件可信度评估框架</w:t>
      </w:r>
      <w:r>
        <w:t xml:space="preserve"> …… 3</w:t>
      </w:r>
      <w:r>
        <w:br/>
        <w:t xml:space="preserve">4.1 </w:t>
      </w:r>
      <w:r>
        <w:rPr>
          <w:rFonts w:hint="eastAsia"/>
        </w:rPr>
        <w:t>智能网联汽车交通仿真测试软件可信度评估框架体系概述</w:t>
      </w:r>
      <w:r>
        <w:t xml:space="preserve"> …… 3</w:t>
      </w:r>
      <w:r>
        <w:br/>
        <w:t xml:space="preserve">4.2 </w:t>
      </w:r>
      <w:r>
        <w:rPr>
          <w:rFonts w:hint="eastAsia"/>
        </w:rPr>
        <w:t>交通流仿真</w:t>
      </w:r>
      <w:r>
        <w:t xml:space="preserve"> …… 4</w:t>
      </w:r>
      <w:r>
        <w:br/>
        <w:t xml:space="preserve">4.2.1 </w:t>
      </w:r>
      <w:r>
        <w:rPr>
          <w:rFonts w:hint="eastAsia"/>
        </w:rPr>
        <w:t>宏观交通流仿真模型</w:t>
      </w:r>
      <w:r>
        <w:t xml:space="preserve"> …… 4</w:t>
      </w:r>
      <w:r>
        <w:br/>
        <w:t xml:space="preserve">4.2.2 </w:t>
      </w:r>
      <w:r>
        <w:rPr>
          <w:rFonts w:hint="eastAsia"/>
        </w:rPr>
        <w:t>微观交通流仿真模型</w:t>
      </w:r>
      <w:r>
        <w:t xml:space="preserve"> …… 5</w:t>
      </w:r>
      <w:r>
        <w:br/>
        <w:t xml:space="preserve">4.3 </w:t>
      </w:r>
      <w:r>
        <w:rPr>
          <w:rFonts w:hint="eastAsia"/>
        </w:rPr>
        <w:t>感知和通信系统仿真</w:t>
      </w:r>
      <w:r>
        <w:t xml:space="preserve"> …… 7</w:t>
      </w:r>
      <w:r>
        <w:br/>
        <w:t xml:space="preserve">4.3.1 </w:t>
      </w:r>
      <w:r>
        <w:rPr>
          <w:rFonts w:hint="eastAsia"/>
        </w:rPr>
        <w:t>感知系统仿真</w:t>
      </w:r>
      <w:r>
        <w:t xml:space="preserve"> …… 7</w:t>
      </w:r>
      <w:r>
        <w:br/>
        <w:t xml:space="preserve">4.3.2 </w:t>
      </w:r>
      <w:r>
        <w:rPr>
          <w:rFonts w:hint="eastAsia"/>
        </w:rPr>
        <w:t>通信系统仿真</w:t>
      </w:r>
      <w:r>
        <w:t xml:space="preserve"> …… 7</w:t>
      </w:r>
      <w:r>
        <w:br/>
        <w:t xml:space="preserve">4.4 </w:t>
      </w:r>
      <w:r>
        <w:rPr>
          <w:rFonts w:hint="eastAsia"/>
        </w:rPr>
        <w:t>交通场景仿真</w:t>
      </w:r>
      <w:r>
        <w:t xml:space="preserve"> …… 8</w:t>
      </w:r>
      <w:r>
        <w:br/>
        <w:t xml:space="preserve">4.4.1 </w:t>
      </w:r>
      <w:r>
        <w:rPr>
          <w:rFonts w:hint="eastAsia"/>
        </w:rPr>
        <w:t>交通场景仿真功能范围</w:t>
      </w:r>
      <w:r>
        <w:t xml:space="preserve"> …… 8</w:t>
      </w:r>
      <w:r>
        <w:br/>
        <w:t xml:space="preserve">4.4.2 </w:t>
      </w:r>
      <w:r>
        <w:rPr>
          <w:rFonts w:hint="eastAsia"/>
        </w:rPr>
        <w:t>场景静态要素指标要求</w:t>
      </w:r>
      <w:r>
        <w:t xml:space="preserve"> …… 8</w:t>
      </w:r>
      <w:r>
        <w:br/>
        <w:t xml:space="preserve">4.4.3 </w:t>
      </w:r>
      <w:r>
        <w:rPr>
          <w:rFonts w:hint="eastAsia"/>
        </w:rPr>
        <w:t>场景动态要素指标要求</w:t>
      </w:r>
      <w:r>
        <w:t xml:space="preserve"> …… 8</w:t>
      </w:r>
      <w:r>
        <w:br/>
        <w:t xml:space="preserve">4.4.4 </w:t>
      </w:r>
      <w:r>
        <w:rPr>
          <w:rFonts w:hint="eastAsia"/>
        </w:rPr>
        <w:t>环境要素模型指标要求</w:t>
      </w:r>
      <w:r>
        <w:t xml:space="preserve"> …… 9</w:t>
      </w:r>
      <w:r>
        <w:br/>
        <w:t xml:space="preserve">4.4.5 </w:t>
      </w:r>
      <w:r>
        <w:rPr>
          <w:rFonts w:hint="eastAsia"/>
        </w:rPr>
        <w:t>场景突发事件要素模型指标要求</w:t>
      </w:r>
      <w:r>
        <w:t xml:space="preserve"> …… 9</w:t>
      </w:r>
      <w:r>
        <w:br/>
        <w:t xml:space="preserve">4.5 </w:t>
      </w:r>
      <w:r>
        <w:rPr>
          <w:rFonts w:hint="eastAsia"/>
        </w:rPr>
        <w:t>仿真测试软件的鲁棒性</w:t>
      </w:r>
      <w:r>
        <w:t xml:space="preserve"> …… 9</w:t>
      </w:r>
      <w:r>
        <w:br/>
        <w:t xml:space="preserve">4.5.1 </w:t>
      </w:r>
      <w:r>
        <w:rPr>
          <w:rFonts w:hint="eastAsia"/>
        </w:rPr>
        <w:t>运行稳定性</w:t>
      </w:r>
      <w:r>
        <w:t xml:space="preserve"> …… 9</w:t>
      </w:r>
      <w:r>
        <w:br/>
        <w:t xml:space="preserve">4.5.2 </w:t>
      </w:r>
      <w:r>
        <w:rPr>
          <w:rFonts w:hint="eastAsia"/>
        </w:rPr>
        <w:t>输入参数适应性</w:t>
      </w:r>
      <w:r>
        <w:t xml:space="preserve"> …… 9</w:t>
      </w:r>
      <w:r>
        <w:br/>
        <w:t xml:space="preserve">4.5.3 </w:t>
      </w:r>
      <w:r>
        <w:rPr>
          <w:rFonts w:hint="eastAsia"/>
        </w:rPr>
        <w:t>异常场景运行能力</w:t>
      </w:r>
      <w:r>
        <w:t xml:space="preserve"> …… 9</w:t>
      </w:r>
      <w:r>
        <w:br/>
        <w:t xml:space="preserve">4.5.4 </w:t>
      </w:r>
      <w:r>
        <w:rPr>
          <w:rFonts w:hint="eastAsia"/>
        </w:rPr>
        <w:t>仿真结果一致性与可重复性</w:t>
      </w:r>
      <w:r>
        <w:t xml:space="preserve"> …… 10</w:t>
      </w:r>
      <w:r>
        <w:br/>
        <w:t xml:space="preserve">4.6 </w:t>
      </w:r>
      <w:r>
        <w:rPr>
          <w:rFonts w:hint="eastAsia"/>
        </w:rPr>
        <w:t>仿真测试软件的通用性</w:t>
      </w:r>
      <w:r>
        <w:t xml:space="preserve"> …… 10</w:t>
      </w:r>
      <w:r>
        <w:br/>
        <w:t xml:space="preserve">4.6.1 </w:t>
      </w:r>
      <w:r>
        <w:rPr>
          <w:rFonts w:hint="eastAsia"/>
        </w:rPr>
        <w:t>适用纯虚拟仿真测试</w:t>
      </w:r>
      <w:r>
        <w:t xml:space="preserve"> …… 10</w:t>
      </w:r>
      <w:r>
        <w:br/>
      </w:r>
      <w:r>
        <w:lastRenderedPageBreak/>
        <w:t xml:space="preserve">4.6.2 </w:t>
      </w:r>
      <w:r>
        <w:rPr>
          <w:rFonts w:hint="eastAsia"/>
        </w:rPr>
        <w:t>适用台架式仿真测试</w:t>
      </w:r>
      <w:r>
        <w:t xml:space="preserve"> …… 10</w:t>
      </w:r>
      <w:r>
        <w:br/>
        <w:t xml:space="preserve">4.6.3 </w:t>
      </w:r>
      <w:r>
        <w:rPr>
          <w:rFonts w:hint="eastAsia"/>
        </w:rPr>
        <w:t>适用虚实结合仿真测试</w:t>
      </w:r>
      <w:r>
        <w:t xml:space="preserve"> …… 11</w:t>
      </w:r>
      <w:r>
        <w:br/>
        <w:t xml:space="preserve">4.6.4 </w:t>
      </w:r>
      <w:r>
        <w:rPr>
          <w:rFonts w:hint="eastAsia"/>
        </w:rPr>
        <w:t>场景配置灵活性</w:t>
      </w:r>
      <w:r>
        <w:t xml:space="preserve"> …… 11</w:t>
      </w:r>
      <w:r>
        <w:br/>
        <w:t xml:space="preserve">4.6.5 </w:t>
      </w:r>
      <w:r>
        <w:rPr>
          <w:rFonts w:hint="eastAsia"/>
        </w:rPr>
        <w:t>算法</w:t>
      </w:r>
      <w:r>
        <w:rPr>
          <w:rFonts w:hint="eastAsia"/>
        </w:rPr>
        <w:t>-</w:t>
      </w:r>
      <w:r>
        <w:rPr>
          <w:rFonts w:hint="eastAsia"/>
        </w:rPr>
        <w:t>仿真环境接口</w:t>
      </w:r>
      <w:r>
        <w:t xml:space="preserve"> …… 11</w:t>
      </w:r>
      <w:r>
        <w:br/>
        <w:t xml:space="preserve">4.6.6 </w:t>
      </w:r>
      <w:r>
        <w:rPr>
          <w:rFonts w:hint="eastAsia"/>
        </w:rPr>
        <w:t>数据与接口兼容性</w:t>
      </w:r>
      <w:r>
        <w:t xml:space="preserve"> …… 11</w:t>
      </w:r>
      <w:r>
        <w:br/>
        <w:t xml:space="preserve">4.6.7 </w:t>
      </w:r>
      <w:r>
        <w:rPr>
          <w:rFonts w:hint="eastAsia"/>
        </w:rPr>
        <w:t>可扩展性与可移植性</w:t>
      </w:r>
      <w:r>
        <w:t xml:space="preserve"> …… 11</w:t>
      </w:r>
      <w:r>
        <w:br/>
        <w:t xml:space="preserve">4.6.8 </w:t>
      </w:r>
      <w:r>
        <w:rPr>
          <w:rFonts w:hint="eastAsia"/>
        </w:rPr>
        <w:t>跨平台互联接口</w:t>
      </w:r>
      <w:r>
        <w:t xml:space="preserve"> …… 12</w:t>
      </w:r>
      <w:r>
        <w:br/>
        <w:t xml:space="preserve">4.7 </w:t>
      </w:r>
      <w:r>
        <w:rPr>
          <w:rFonts w:hint="eastAsia"/>
        </w:rPr>
        <w:t>数据安全与隐私</w:t>
      </w:r>
      <w:r>
        <w:t xml:space="preserve"> …… 12</w:t>
      </w:r>
      <w:r>
        <w:br/>
        <w:t xml:space="preserve">5 </w:t>
      </w:r>
      <w:r>
        <w:rPr>
          <w:rFonts w:hint="eastAsia"/>
        </w:rPr>
        <w:t>可信度评估指标</w:t>
      </w:r>
      <w:r>
        <w:t xml:space="preserve"> …… 12</w:t>
      </w:r>
      <w:r>
        <w:br/>
        <w:t xml:space="preserve">5.1 </w:t>
      </w:r>
      <w:r>
        <w:rPr>
          <w:rFonts w:hint="eastAsia"/>
        </w:rPr>
        <w:t>交通流仿真</w:t>
      </w:r>
      <w:r>
        <w:t xml:space="preserve"> …… 12</w:t>
      </w:r>
      <w:r>
        <w:br/>
        <w:t xml:space="preserve">5.1.1 </w:t>
      </w:r>
      <w:r>
        <w:rPr>
          <w:rFonts w:hint="eastAsia"/>
        </w:rPr>
        <w:t>纵向运动控制（跟驰行为）</w:t>
      </w:r>
      <w:r>
        <w:t xml:space="preserve"> …… 12</w:t>
      </w:r>
      <w:r>
        <w:br/>
        <w:t xml:space="preserve">5.1.2 </w:t>
      </w:r>
      <w:r>
        <w:rPr>
          <w:rFonts w:hint="eastAsia"/>
        </w:rPr>
        <w:t>横向运动控制（换道行为）</w:t>
      </w:r>
      <w:r>
        <w:t xml:space="preserve"> …… 12</w:t>
      </w:r>
      <w:r>
        <w:br/>
        <w:t xml:space="preserve">5.1.3 </w:t>
      </w:r>
      <w:r>
        <w:rPr>
          <w:rFonts w:hint="eastAsia"/>
        </w:rPr>
        <w:t>交叉路口通行行为</w:t>
      </w:r>
      <w:r>
        <w:t xml:space="preserve"> …… 13</w:t>
      </w:r>
      <w:r>
        <w:br/>
        <w:t xml:space="preserve">5.1.4 </w:t>
      </w:r>
      <w:r>
        <w:rPr>
          <w:rFonts w:hint="eastAsia"/>
        </w:rPr>
        <w:t>弱势道路使用者交互</w:t>
      </w:r>
      <w:r>
        <w:t xml:space="preserve"> …… 13</w:t>
      </w:r>
      <w:r>
        <w:br/>
        <w:t xml:space="preserve">5.1.5 </w:t>
      </w:r>
      <w:r>
        <w:rPr>
          <w:rFonts w:hint="eastAsia"/>
        </w:rPr>
        <w:t>场景生成能力</w:t>
      </w:r>
      <w:r>
        <w:t xml:space="preserve"> …… 13</w:t>
      </w:r>
      <w:r>
        <w:br/>
        <w:t xml:space="preserve">5.2 </w:t>
      </w:r>
      <w:r>
        <w:rPr>
          <w:rFonts w:hint="eastAsia"/>
        </w:rPr>
        <w:t>感知系统仿真可信度</w:t>
      </w:r>
      <w:r>
        <w:t xml:space="preserve"> …… 13</w:t>
      </w:r>
      <w:r>
        <w:br/>
        <w:t xml:space="preserve">5.3 </w:t>
      </w:r>
      <w:r>
        <w:rPr>
          <w:rFonts w:hint="eastAsia"/>
        </w:rPr>
        <w:t>通信系统仿真可信度</w:t>
      </w:r>
      <w:r>
        <w:t xml:space="preserve"> …… 15</w:t>
      </w:r>
      <w:r>
        <w:br/>
        <w:t xml:space="preserve">5.4 </w:t>
      </w:r>
      <w:r>
        <w:rPr>
          <w:rFonts w:hint="eastAsia"/>
        </w:rPr>
        <w:t>交通场景仿真可信度</w:t>
      </w:r>
      <w:r>
        <w:t xml:space="preserve"> …… 15</w:t>
      </w:r>
      <w:r>
        <w:br/>
        <w:t xml:space="preserve">5.4.1 </w:t>
      </w:r>
      <w:r>
        <w:rPr>
          <w:rFonts w:hint="eastAsia"/>
        </w:rPr>
        <w:t>交通场景仿真可信度评估指标</w:t>
      </w:r>
      <w:r>
        <w:t xml:space="preserve"> …… 15</w:t>
      </w:r>
      <w:r>
        <w:br/>
        <w:t xml:space="preserve">5.4.2 </w:t>
      </w:r>
      <w:r>
        <w:rPr>
          <w:rFonts w:hint="eastAsia"/>
        </w:rPr>
        <w:t>场景静态要素可信度评价指标</w:t>
      </w:r>
      <w:r>
        <w:t xml:space="preserve"> …… 16</w:t>
      </w:r>
      <w:r>
        <w:br/>
        <w:t xml:space="preserve">5.4.3 </w:t>
      </w:r>
      <w:r>
        <w:rPr>
          <w:rFonts w:hint="eastAsia"/>
        </w:rPr>
        <w:t>场景动态要素可信度评价指标</w:t>
      </w:r>
      <w:r>
        <w:t xml:space="preserve"> …… 17</w:t>
      </w:r>
      <w:r>
        <w:br/>
        <w:t xml:space="preserve">5.4.4 </w:t>
      </w:r>
      <w:r>
        <w:rPr>
          <w:rFonts w:hint="eastAsia"/>
        </w:rPr>
        <w:t>环境要素模型可信度评价指标</w:t>
      </w:r>
      <w:r>
        <w:t xml:space="preserve"> …… 18</w:t>
      </w:r>
      <w:r>
        <w:br/>
        <w:t xml:space="preserve">5.4.5 </w:t>
      </w:r>
      <w:r>
        <w:rPr>
          <w:rFonts w:hint="eastAsia"/>
        </w:rPr>
        <w:t>场景突发事件要素模型可信度评价指标</w:t>
      </w:r>
      <w:r>
        <w:t xml:space="preserve"> …… 18</w:t>
      </w:r>
      <w:r>
        <w:br/>
        <w:t xml:space="preserve">5.5 </w:t>
      </w:r>
      <w:r>
        <w:rPr>
          <w:rFonts w:hint="eastAsia"/>
        </w:rPr>
        <w:t>仿真测试软件通用性可信度</w:t>
      </w:r>
      <w:r>
        <w:t xml:space="preserve"> …… 19</w:t>
      </w:r>
      <w:r>
        <w:br/>
        <w:t xml:space="preserve">6 </w:t>
      </w:r>
      <w:r>
        <w:rPr>
          <w:rFonts w:hint="eastAsia"/>
        </w:rPr>
        <w:t>可信度评估实施与等级判定</w:t>
      </w:r>
      <w:r>
        <w:t xml:space="preserve"> …… 19</w:t>
      </w:r>
      <w:r>
        <w:br/>
        <w:t xml:space="preserve">6.1 </w:t>
      </w:r>
      <w:r>
        <w:rPr>
          <w:rFonts w:hint="eastAsia"/>
        </w:rPr>
        <w:t>数据对比法</w:t>
      </w:r>
      <w:r>
        <w:t xml:space="preserve"> …… 19</w:t>
      </w:r>
      <w:r>
        <w:br/>
        <w:t xml:space="preserve">6.2 </w:t>
      </w:r>
      <w:r>
        <w:rPr>
          <w:rFonts w:hint="eastAsia"/>
        </w:rPr>
        <w:t>专家评审法</w:t>
      </w:r>
      <w:r>
        <w:t xml:space="preserve"> …… 20</w:t>
      </w:r>
      <w:r>
        <w:br/>
        <w:t xml:space="preserve">6.3 </w:t>
      </w:r>
      <w:r>
        <w:rPr>
          <w:rFonts w:hint="eastAsia"/>
        </w:rPr>
        <w:t>仿真</w:t>
      </w:r>
      <w:r>
        <w:rPr>
          <w:rFonts w:hint="eastAsia"/>
        </w:rPr>
        <w:t>-</w:t>
      </w:r>
      <w:r>
        <w:rPr>
          <w:rFonts w:hint="eastAsia"/>
        </w:rPr>
        <w:t>实车联合验证法</w:t>
      </w:r>
      <w:r>
        <w:t xml:space="preserve"> …… 20</w:t>
      </w:r>
      <w:r>
        <w:br/>
        <w:t xml:space="preserve">6.4 </w:t>
      </w:r>
      <w:r>
        <w:rPr>
          <w:rFonts w:hint="eastAsia"/>
        </w:rPr>
        <w:t>仿真试验可信度评估要求</w:t>
      </w:r>
      <w:r>
        <w:t xml:space="preserve"> …… 20</w:t>
      </w:r>
      <w:r>
        <w:br/>
        <w:t xml:space="preserve">6.4.1 </w:t>
      </w:r>
      <w:r>
        <w:rPr>
          <w:rFonts w:hint="eastAsia"/>
        </w:rPr>
        <w:t>建模与仿真管理证据</w:t>
      </w:r>
      <w:r>
        <w:t xml:space="preserve"> …… 20</w:t>
      </w:r>
      <w:r>
        <w:br/>
      </w:r>
      <w:r>
        <w:lastRenderedPageBreak/>
        <w:t xml:space="preserve">6.4.2 </w:t>
      </w:r>
      <w:r>
        <w:rPr>
          <w:rFonts w:hint="eastAsia"/>
        </w:rPr>
        <w:t>建模与仿真分析证据</w:t>
      </w:r>
      <w:r>
        <w:t xml:space="preserve"> …… 20</w:t>
      </w:r>
      <w:r>
        <w:br/>
        <w:t xml:space="preserve">6.4.3 </w:t>
      </w:r>
      <w:r>
        <w:rPr>
          <w:rFonts w:hint="eastAsia"/>
        </w:rPr>
        <w:t>建模与仿真验证证据</w:t>
      </w:r>
      <w:r>
        <w:t xml:space="preserve"> …… 20</w:t>
      </w:r>
      <w:r>
        <w:br/>
        <w:t xml:space="preserve">6.4.4 </w:t>
      </w:r>
      <w:r>
        <w:rPr>
          <w:rFonts w:hint="eastAsia"/>
        </w:rPr>
        <w:t>建模与仿真确认及不确定性证据</w:t>
      </w:r>
      <w:r>
        <w:t xml:space="preserve"> …… 20</w:t>
      </w:r>
      <w:r>
        <w:br/>
        <w:t xml:space="preserve">6.4.5 </w:t>
      </w:r>
      <w:r>
        <w:rPr>
          <w:rFonts w:hint="eastAsia"/>
        </w:rPr>
        <w:t>文件与追溯证据</w:t>
      </w:r>
      <w:r>
        <w:t xml:space="preserve"> …… 21</w:t>
      </w:r>
      <w:r>
        <w:br/>
        <w:t xml:space="preserve">6.5 </w:t>
      </w:r>
      <w:r>
        <w:rPr>
          <w:rFonts w:hint="eastAsia"/>
        </w:rPr>
        <w:t>可信度等级判定</w:t>
      </w:r>
      <w:r>
        <w:t xml:space="preserve"> …… 21</w:t>
      </w:r>
      <w:r>
        <w:br/>
      </w:r>
      <w:r>
        <w:rPr>
          <w:rFonts w:hint="eastAsia"/>
        </w:rPr>
        <w:t>附录</w:t>
      </w:r>
      <w:r>
        <w:t xml:space="preserve"> A …… 22</w:t>
      </w:r>
      <w:r>
        <w:br/>
      </w:r>
      <w:r>
        <w:rPr>
          <w:rFonts w:hint="eastAsia"/>
        </w:rPr>
        <w:t>参考文献</w:t>
      </w:r>
      <w:r>
        <w:t xml:space="preserve"> …… 24</w:t>
      </w:r>
    </w:p>
    <w:p w14:paraId="3196BEB2" w14:textId="77777777" w:rsidR="00BA3E6C" w:rsidRDefault="00BA3E6C">
      <w:pPr>
        <w:widowControl/>
        <w:spacing w:after="200" w:line="240" w:lineRule="auto"/>
        <w:rPr>
          <w:rFonts w:eastAsia="黑体"/>
          <w:b/>
          <w:bCs/>
          <w:color w:val="000000"/>
          <w:sz w:val="32"/>
          <w:szCs w:val="32"/>
        </w:rPr>
      </w:pPr>
      <w:bookmarkStart w:id="7" w:name="前-言"/>
      <w:bookmarkEnd w:id="4"/>
      <w:r>
        <w:br w:type="page"/>
      </w:r>
    </w:p>
    <w:p w14:paraId="3F8D8F5E" w14:textId="3401513F" w:rsidR="009B55B3" w:rsidRDefault="00CC309B">
      <w:pPr>
        <w:pStyle w:val="2"/>
      </w:pPr>
      <w:r>
        <w:rPr>
          <w:rFonts w:hint="eastAsia"/>
        </w:rPr>
        <w:lastRenderedPageBreak/>
        <w:t>前</w:t>
      </w:r>
      <w:r>
        <w:t xml:space="preserve"> </w:t>
      </w:r>
      <w:r>
        <w:rPr>
          <w:rFonts w:hint="eastAsia"/>
        </w:rPr>
        <w:t>言</w:t>
      </w:r>
    </w:p>
    <w:p w14:paraId="34C1F26C" w14:textId="77777777" w:rsidR="009B55B3" w:rsidRDefault="00CC309B">
      <w:pPr>
        <w:pStyle w:val="FirstParagraph"/>
      </w:pPr>
      <w:r>
        <w:rPr>
          <w:rFonts w:hint="eastAsia"/>
        </w:rPr>
        <w:t>本文件按照</w:t>
      </w:r>
      <w:r>
        <w:t xml:space="preserve"> GB/T </w:t>
      </w:r>
      <w:r>
        <w:rPr>
          <w:rFonts w:hint="eastAsia"/>
        </w:rPr>
        <w:t>1.1</w:t>
      </w:r>
      <w:r>
        <w:rPr>
          <w:rFonts w:hint="eastAsia"/>
        </w:rPr>
        <w:t>—</w:t>
      </w:r>
      <w:r>
        <w:rPr>
          <w:rFonts w:hint="eastAsia"/>
        </w:rPr>
        <w:t>2020</w:t>
      </w:r>
      <w:r>
        <w:rPr>
          <w:rFonts w:hint="eastAsia"/>
        </w:rPr>
        <w:t>《标准化工作导则</w:t>
      </w:r>
      <w:r>
        <w:t xml:space="preserve"> </w:t>
      </w:r>
      <w:r>
        <w:rPr>
          <w:rFonts w:hint="eastAsia"/>
        </w:rPr>
        <w:t>第</w:t>
      </w:r>
      <w:r>
        <w:rPr>
          <w:rFonts w:hint="eastAsia"/>
        </w:rPr>
        <w:t>1</w:t>
      </w:r>
      <w:r>
        <w:rPr>
          <w:rFonts w:hint="eastAsia"/>
        </w:rPr>
        <w:t>部分：标准化文件的结构和起草规则》的规定起草。</w:t>
      </w:r>
    </w:p>
    <w:p w14:paraId="0F7DFAF2" w14:textId="77777777" w:rsidR="009B55B3" w:rsidRDefault="00CC309B">
      <w:pPr>
        <w:pStyle w:val="a0"/>
      </w:pPr>
      <w:r>
        <w:rPr>
          <w:rFonts w:hint="eastAsia"/>
        </w:rPr>
        <w:t>本文件的制定旨在贯彻《智能汽车创新发展战略》的总体部署，落实《国家车联网产业标准体系建设指南（智能网联汽车）（</w:t>
      </w:r>
      <w:r>
        <w:rPr>
          <w:rFonts w:hint="eastAsia"/>
        </w:rPr>
        <w:t>2023</w:t>
      </w:r>
      <w:r>
        <w:rPr>
          <w:rFonts w:hint="eastAsia"/>
        </w:rPr>
        <w:t>版）》关于建立健全测试评价标准体系的要求。基于场景的仿真试验是智能网联汽车自动驾驶功能测试验证的重要技术路径，其结果的可信程度不仅取决于交通流、交通参与者行为、传感器、通信和环境等单一模型的精度，还与软件版本、工具链配置、模型适用范围、场景、数据质量、接口和运行条件等因素相关。针对评估对象和适用边界不统一、指标口径不一致、评估过程难以复核以及证据追溯不足等问题，本文件建立面向智能网联汽车交通仿真测试软件的可信度评估机制。</w:t>
      </w:r>
    </w:p>
    <w:p w14:paraId="6F10C3FE" w14:textId="77777777" w:rsidR="009B55B3" w:rsidRDefault="00CC309B">
      <w:pPr>
        <w:pStyle w:val="a0"/>
      </w:pPr>
      <w:r>
        <w:rPr>
          <w:rFonts w:hint="eastAsia"/>
        </w:rPr>
        <w:t>本文件以</w:t>
      </w:r>
      <w:r>
        <w:t xml:space="preserve"> GB/T </w:t>
      </w:r>
      <w:r>
        <w:rPr>
          <w:rFonts w:hint="eastAsia"/>
        </w:rPr>
        <w:t>47025</w:t>
      </w:r>
      <w:r>
        <w:rPr>
          <w:rFonts w:hint="eastAsia"/>
        </w:rPr>
        <w:t>—</w:t>
      </w:r>
      <w:r>
        <w:rPr>
          <w:rFonts w:hint="eastAsia"/>
        </w:rPr>
        <w:t>2026</w:t>
      </w:r>
      <w:r>
        <w:rPr>
          <w:rFonts w:hint="eastAsia"/>
        </w:rPr>
        <w:t>《智能网联汽车自动驾驶功能仿真试验方法及要求》附录</w:t>
      </w:r>
      <w:r>
        <w:t xml:space="preserve"> A </w:t>
      </w:r>
      <w:r>
        <w:rPr>
          <w:rFonts w:hint="eastAsia"/>
        </w:rPr>
        <w:t>规定的建模与仿真管理、分析、验证、确认和文件要求为技术基础，将仿真试验工具链及相关模型的可信度证据与交通流仿真、感知系统仿真、通信系统仿真、交通场景仿真和软件通用性五个专业能力评估模块相结合，并将运行鲁棒性、数据安全与隐私保护作为支撑性要求；通过数据对比、专家评审和仿真</w:t>
      </w:r>
      <w:r>
        <w:rPr>
          <w:rFonts w:hint="eastAsia"/>
        </w:rPr>
        <w:t>-</w:t>
      </w:r>
      <w:r>
        <w:rPr>
          <w:rFonts w:hint="eastAsia"/>
        </w:rPr>
        <w:t>实车联合验证等方法，将专业能力指标评价、国标可信度证据核查、模块评分、综合得分和等级判定相衔接，使评估结论与特定软件版本、工具链配置、模型、数据条件和预定应用场景相对应。</w:t>
      </w:r>
    </w:p>
    <w:p w14:paraId="713BDC4F" w14:textId="77777777" w:rsidR="009B55B3" w:rsidRDefault="00CC309B">
      <w:pPr>
        <w:pStyle w:val="a0"/>
      </w:pPr>
      <w:r>
        <w:rPr>
          <w:rFonts w:hint="eastAsia"/>
        </w:rPr>
        <w:t>本文件第</w:t>
      </w:r>
      <w:r>
        <w:rPr>
          <w:rFonts w:hint="eastAsia"/>
        </w:rPr>
        <w:t>1</w:t>
      </w:r>
      <w:r>
        <w:rPr>
          <w:rFonts w:hint="eastAsia"/>
        </w:rPr>
        <w:t>章至第</w:t>
      </w:r>
      <w:r>
        <w:rPr>
          <w:rFonts w:hint="eastAsia"/>
        </w:rPr>
        <w:t>3</w:t>
      </w:r>
      <w:r>
        <w:rPr>
          <w:rFonts w:hint="eastAsia"/>
        </w:rPr>
        <w:t>章规定适用范围、规范性引用文件和术语基础，第</w:t>
      </w:r>
      <w:r>
        <w:rPr>
          <w:rFonts w:hint="eastAsia"/>
        </w:rPr>
        <w:t>4</w:t>
      </w:r>
      <w:r>
        <w:rPr>
          <w:rFonts w:hint="eastAsia"/>
        </w:rPr>
        <w:t>章建立仿真试验可信度评估与专业能力评估相衔接的总体框架并规定相关能力要求，第</w:t>
      </w:r>
      <w:r>
        <w:rPr>
          <w:rFonts w:hint="eastAsia"/>
        </w:rPr>
        <w:t>5</w:t>
      </w:r>
      <w:r>
        <w:rPr>
          <w:rFonts w:hint="eastAsia"/>
        </w:rPr>
        <w:t>章规定专业能力评估指标，第</w:t>
      </w:r>
      <w:r>
        <w:rPr>
          <w:rFonts w:hint="eastAsia"/>
        </w:rPr>
        <w:t>6</w:t>
      </w:r>
      <w:r>
        <w:rPr>
          <w:rFonts w:hint="eastAsia"/>
        </w:rPr>
        <w:t>章规定评估方法、可信度证据核查和等级判定，资料性附录</w:t>
      </w:r>
      <w:r>
        <w:t xml:space="preserve"> A </w:t>
      </w:r>
      <w:r>
        <w:rPr>
          <w:rFonts w:hint="eastAsia"/>
        </w:rPr>
        <w:t>说明</w:t>
      </w:r>
      <w:r>
        <w:t xml:space="preserve"> GB/T 47025—2026 </w:t>
      </w:r>
      <w:r>
        <w:rPr>
          <w:rFonts w:hint="eastAsia"/>
        </w:rPr>
        <w:t>附录</w:t>
      </w:r>
      <w:r>
        <w:t xml:space="preserve"> A </w:t>
      </w:r>
      <w:r>
        <w:rPr>
          <w:rFonts w:hint="eastAsia"/>
        </w:rPr>
        <w:t>与本文件的条款对应关系、细化内容和配套使用关系。本文件主要供仿真测试软件开发方、整车及自动驾驶系统企业、第三方检验检测与评估机构，以及相关测试服务和工具链使用方开展自评估、工具选型、独立评估和能力核查。在用于</w:t>
      </w:r>
      <w:r>
        <w:t xml:space="preserve"> GB/T 47025—2026 </w:t>
      </w:r>
      <w:r>
        <w:rPr>
          <w:rFonts w:hint="eastAsia"/>
        </w:rPr>
        <w:t>规定的自动驾驶功能仿真试验时，该标准附录</w:t>
      </w:r>
      <w:r>
        <w:t xml:space="preserve"> A </w:t>
      </w:r>
      <w:r>
        <w:rPr>
          <w:rFonts w:hint="eastAsia"/>
        </w:rPr>
        <w:t>的相关要求继续适用，本文件规定的专业能力评估及等级判定作为软件适用性判断的补充。</w:t>
      </w:r>
    </w:p>
    <w:p w14:paraId="207FB86A" w14:textId="77777777" w:rsidR="009B55B3" w:rsidRDefault="00CC309B">
      <w:pPr>
        <w:pStyle w:val="a0"/>
      </w:pPr>
      <w:r>
        <w:rPr>
          <w:rFonts w:hint="eastAsia"/>
        </w:rPr>
        <w:t>请注意本文件的某些内容可能涉及专利。本文件的发布机构不承担识别专利的</w:t>
      </w:r>
      <w:r>
        <w:rPr>
          <w:rFonts w:hint="eastAsia"/>
        </w:rPr>
        <w:lastRenderedPageBreak/>
        <w:t>责任。</w:t>
      </w:r>
    </w:p>
    <w:p w14:paraId="5ED27BC5" w14:textId="77777777" w:rsidR="009B55B3" w:rsidRDefault="00CC309B">
      <w:pPr>
        <w:pStyle w:val="a0"/>
      </w:pPr>
      <w:r>
        <w:rPr>
          <w:rFonts w:hint="eastAsia"/>
        </w:rPr>
        <w:t>本文件由中国仿真学会提出并归口。</w:t>
      </w:r>
    </w:p>
    <w:p w14:paraId="4BE3166C" w14:textId="77777777" w:rsidR="009B55B3" w:rsidRDefault="00CC309B">
      <w:pPr>
        <w:pStyle w:val="a0"/>
      </w:pPr>
      <w:r>
        <w:rPr>
          <w:rFonts w:hint="eastAsia"/>
        </w:rPr>
        <w:t>本文件起草单位：中国仿真学会、清华大学、华南理工大学、南京理工大学、福建理工大学、中国电子技术标准化研究院、中国科学院计算技术研究所、小米汽车科技有限公司、武汉理工大学、东南大学、中山大学、湖南科技大学、厦门理工学院、苏州科技大学、浙江理工大学、西南交通大学、武汉大学、中央民族大学、山西寰烁电子科技股份有限公司（根据实际参与单位补充）。</w:t>
      </w:r>
    </w:p>
    <w:p w14:paraId="61E00F9D" w14:textId="77777777" w:rsidR="009B55B3" w:rsidRDefault="00CC309B">
      <w:pPr>
        <w:pStyle w:val="a0"/>
      </w:pPr>
      <w:r>
        <w:rPr>
          <w:rFonts w:hint="eastAsia"/>
        </w:rPr>
        <w:t>本文件主要起草人：待定。</w:t>
      </w:r>
    </w:p>
    <w:p w14:paraId="6E8329B4" w14:textId="77777777" w:rsidR="00225893" w:rsidRDefault="00225893">
      <w:pPr>
        <w:widowControl/>
        <w:spacing w:after="200" w:line="240" w:lineRule="auto"/>
        <w:rPr>
          <w:rFonts w:eastAsia="黑体"/>
          <w:b/>
          <w:bCs/>
          <w:color w:val="000000"/>
          <w:kern w:val="44"/>
          <w:sz w:val="44"/>
          <w:szCs w:val="44"/>
        </w:rPr>
      </w:pPr>
      <w:bookmarkStart w:id="8" w:name="智能网联汽车交通仿真测试软件可信度评估-1"/>
      <w:bookmarkEnd w:id="3"/>
      <w:bookmarkEnd w:id="7"/>
      <w:r>
        <w:br w:type="page"/>
      </w:r>
    </w:p>
    <w:p w14:paraId="6BC3E6D4" w14:textId="56FACC79" w:rsidR="009B55B3" w:rsidRDefault="00CC309B">
      <w:pPr>
        <w:pStyle w:val="1"/>
      </w:pPr>
      <w:r>
        <w:rPr>
          <w:rFonts w:hint="eastAsia"/>
        </w:rPr>
        <w:lastRenderedPageBreak/>
        <w:t>智能网联汽车交通仿真测试软件可信度评估</w:t>
      </w:r>
    </w:p>
    <w:p w14:paraId="557B4954" w14:textId="77777777" w:rsidR="009B55B3" w:rsidRDefault="00CC309B">
      <w:pPr>
        <w:pStyle w:val="2"/>
      </w:pPr>
      <w:bookmarkStart w:id="9" w:name="范围"/>
      <w:r>
        <w:t xml:space="preserve">1 </w:t>
      </w:r>
      <w:r>
        <w:rPr>
          <w:rFonts w:hint="eastAsia"/>
        </w:rPr>
        <w:t>范围</w:t>
      </w:r>
    </w:p>
    <w:p w14:paraId="75B8EE29" w14:textId="77777777" w:rsidR="009B55B3" w:rsidRDefault="00CC309B">
      <w:pPr>
        <w:pStyle w:val="FirstParagraph"/>
      </w:pPr>
      <w:r>
        <w:rPr>
          <w:rFonts w:hint="eastAsia"/>
        </w:rPr>
        <w:t>本文件规定了智能网联汽车交通仿真测试软件可信度评估的总体框架、评估内容、评估指标、评估方法和可信度等级判定。</w:t>
      </w:r>
    </w:p>
    <w:p w14:paraId="52958225" w14:textId="77777777" w:rsidR="009B55B3" w:rsidRDefault="00CC309B">
      <w:pPr>
        <w:pStyle w:val="a0"/>
      </w:pPr>
      <w:r>
        <w:rPr>
          <w:rFonts w:hint="eastAsia"/>
        </w:rPr>
        <w:t>本文件适用于面向智能网联汽车研发、测试、验证和评价活动的交通仿真测试软件可信度评估，可用于仿真软件开发方自评估、整车及系统企业选型评估、第三方机构独立评估，以及相关测试服务和工具链能力评价。其中所涉及的交通仿真主要指面向智能网联汽车测试的微观交通流仿真，并可结合仿真输出开展宏观交通运行指标分析。评估内容包括交通流仿真、感知系统仿真、通信系统仿真、交通场景仿真、仿真测试软件通用性、数据安全与隐私保护支撑能力等。</w:t>
      </w:r>
    </w:p>
    <w:p w14:paraId="4CAEAAF8" w14:textId="77777777" w:rsidR="009B55B3" w:rsidRDefault="00CC309B">
      <w:pPr>
        <w:pStyle w:val="a0"/>
      </w:pPr>
      <w:r>
        <w:rPr>
          <w:rFonts w:hint="eastAsia"/>
        </w:rPr>
        <w:t>本文件不适用于仅开展车辆动力学模型精度评价的仿真软件，也不适用于不包含交通场景、交通参与者行为或交通流过程的单一部件级仿真软件。本文件不替代自动驾驶功能道路试验、场地试验、功能安全、预期功能安全、网络安全、数据安全和个人信息保护等专项符合性评价标准；涉及相关法规、强制性标准或专项评价要求时，应按相应文件执行。</w:t>
      </w:r>
    </w:p>
    <w:p w14:paraId="63E1CAA7" w14:textId="77777777" w:rsidR="009B55B3" w:rsidRDefault="00CC309B">
      <w:pPr>
        <w:pStyle w:val="2"/>
      </w:pPr>
      <w:bookmarkStart w:id="10" w:name="规范性引用文件"/>
      <w:bookmarkEnd w:id="9"/>
      <w:r>
        <w:t xml:space="preserve">2 </w:t>
      </w:r>
      <w:r>
        <w:rPr>
          <w:rFonts w:hint="eastAsia"/>
        </w:rPr>
        <w:t>规范性引用文件</w:t>
      </w:r>
    </w:p>
    <w:p w14:paraId="68284B59" w14:textId="77777777" w:rsidR="009B55B3" w:rsidRDefault="00CC309B">
      <w:pPr>
        <w:pStyle w:val="FirstParagraph"/>
      </w:pPr>
      <w:r>
        <w:rPr>
          <w:rFonts w:hint="eastAsia"/>
        </w:rPr>
        <w:t>下列文件中的内容通过文中的规范性引用而构成本文件必不可少的条款。其中，注日期的引用文件，仅该日期对应的版本适用于本文件；不注日期的引用文件，其最新版本（包括所有的修改单）适用于本文件。</w:t>
      </w:r>
    </w:p>
    <w:p w14:paraId="6CDF77A3" w14:textId="77777777" w:rsidR="009B55B3" w:rsidRDefault="00CC309B">
      <w:pPr>
        <w:pStyle w:val="a0"/>
      </w:pPr>
      <w:r>
        <w:t xml:space="preserve">GB 5768.1—2025 </w:t>
      </w:r>
      <w:r>
        <w:rPr>
          <w:rFonts w:hint="eastAsia"/>
        </w:rPr>
        <w:t>道路交通标志和标线</w:t>
      </w:r>
      <w:r>
        <w:t xml:space="preserve"> </w:t>
      </w:r>
      <w:r>
        <w:rPr>
          <w:rFonts w:hint="eastAsia"/>
        </w:rPr>
        <w:t>第</w:t>
      </w:r>
      <w:r>
        <w:rPr>
          <w:rFonts w:hint="eastAsia"/>
        </w:rPr>
        <w:t>1</w:t>
      </w:r>
      <w:r>
        <w:rPr>
          <w:rFonts w:hint="eastAsia"/>
        </w:rPr>
        <w:t>部分：总则</w:t>
      </w:r>
      <w:r>
        <w:br/>
        <w:t xml:space="preserve">GB 5768.2—2022 </w:t>
      </w:r>
      <w:r>
        <w:rPr>
          <w:rFonts w:hint="eastAsia"/>
        </w:rPr>
        <w:t>道路交通标志和标线</w:t>
      </w:r>
      <w:r>
        <w:t xml:space="preserve"> </w:t>
      </w:r>
      <w:r>
        <w:rPr>
          <w:rFonts w:hint="eastAsia"/>
        </w:rPr>
        <w:t>第</w:t>
      </w:r>
      <w:r>
        <w:rPr>
          <w:rFonts w:hint="eastAsia"/>
        </w:rPr>
        <w:t>2</w:t>
      </w:r>
      <w:r>
        <w:rPr>
          <w:rFonts w:hint="eastAsia"/>
        </w:rPr>
        <w:t>部分：道路交通标志</w:t>
      </w:r>
      <w:r>
        <w:br/>
        <w:t xml:space="preserve">GB 5768.3—2025 </w:t>
      </w:r>
      <w:r>
        <w:rPr>
          <w:rFonts w:hint="eastAsia"/>
        </w:rPr>
        <w:t>道路交通标志和标线</w:t>
      </w:r>
      <w:r>
        <w:t xml:space="preserve"> </w:t>
      </w:r>
      <w:r>
        <w:rPr>
          <w:rFonts w:hint="eastAsia"/>
        </w:rPr>
        <w:t>第</w:t>
      </w:r>
      <w:r>
        <w:rPr>
          <w:rFonts w:hint="eastAsia"/>
        </w:rPr>
        <w:t>3</w:t>
      </w:r>
      <w:r>
        <w:rPr>
          <w:rFonts w:hint="eastAsia"/>
        </w:rPr>
        <w:t>部分：道路交通标线</w:t>
      </w:r>
      <w:r>
        <w:br/>
        <w:t xml:space="preserve">GB 5768.4—2017 </w:t>
      </w:r>
      <w:r>
        <w:rPr>
          <w:rFonts w:hint="eastAsia"/>
        </w:rPr>
        <w:t>道路交通标志和标线</w:t>
      </w:r>
      <w:r>
        <w:t xml:space="preserve"> </w:t>
      </w:r>
      <w:r>
        <w:rPr>
          <w:rFonts w:hint="eastAsia"/>
        </w:rPr>
        <w:t>第</w:t>
      </w:r>
      <w:r>
        <w:rPr>
          <w:rFonts w:hint="eastAsia"/>
        </w:rPr>
        <w:t>4</w:t>
      </w:r>
      <w:r>
        <w:rPr>
          <w:rFonts w:hint="eastAsia"/>
        </w:rPr>
        <w:t>部分：作业区</w:t>
      </w:r>
      <w:r>
        <w:br/>
      </w:r>
      <w:r>
        <w:lastRenderedPageBreak/>
        <w:t xml:space="preserve">GB 44721—2026 </w:t>
      </w:r>
      <w:r>
        <w:rPr>
          <w:rFonts w:hint="eastAsia"/>
        </w:rPr>
        <w:t>智能网联汽车自动驾驶系统安全要求</w:t>
      </w:r>
      <w:r>
        <w:br/>
        <w:t xml:space="preserve">GB/T 40429—2021 </w:t>
      </w:r>
      <w:r>
        <w:rPr>
          <w:rFonts w:hint="eastAsia"/>
        </w:rPr>
        <w:t>汽车驾驶自动化分级</w:t>
      </w:r>
      <w:r>
        <w:br/>
        <w:t xml:space="preserve">GB/T 44373—2024 </w:t>
      </w:r>
      <w:r>
        <w:rPr>
          <w:rFonts w:hint="eastAsia"/>
        </w:rPr>
        <w:t>智能网联汽车术语和定义</w:t>
      </w:r>
      <w:r>
        <w:br/>
        <w:t xml:space="preserve">GB/T 45312—2025 </w:t>
      </w:r>
      <w:r>
        <w:rPr>
          <w:rFonts w:hint="eastAsia"/>
        </w:rPr>
        <w:t>智能网联汽车自动驾驶系统设计运行条件</w:t>
      </w:r>
      <w:r>
        <w:br/>
        <w:t xml:space="preserve">GB/T 46896—2025 </w:t>
      </w:r>
      <w:r>
        <w:rPr>
          <w:rFonts w:hint="eastAsia"/>
        </w:rPr>
        <w:t>道路车辆自动驾驶系统测试场景术语</w:t>
      </w:r>
      <w:r>
        <w:br/>
        <w:t xml:space="preserve">GB/T 47025—2026 </w:t>
      </w:r>
      <w:r>
        <w:rPr>
          <w:rFonts w:hint="eastAsia"/>
        </w:rPr>
        <w:t>智能网联汽车自动驾驶功能仿真试验方法及要求</w:t>
      </w:r>
      <w:r>
        <w:br/>
        <w:t xml:space="preserve">GB/T 47126—2026 </w:t>
      </w:r>
      <w:r>
        <w:rPr>
          <w:rFonts w:hint="eastAsia"/>
        </w:rPr>
        <w:t>道路车辆自动驾驶传感器与数据融合单元间数据通信逻辑接口</w:t>
      </w:r>
    </w:p>
    <w:p w14:paraId="53FD8E0B" w14:textId="77777777" w:rsidR="009B55B3" w:rsidRDefault="00CC309B">
      <w:pPr>
        <w:pStyle w:val="2"/>
      </w:pPr>
      <w:bookmarkStart w:id="11" w:name="术语和定义缩略语"/>
      <w:bookmarkEnd w:id="10"/>
      <w:r>
        <w:t xml:space="preserve">3 </w:t>
      </w:r>
      <w:r>
        <w:rPr>
          <w:rFonts w:hint="eastAsia"/>
        </w:rPr>
        <w:t>术语和定义、缩略语</w:t>
      </w:r>
    </w:p>
    <w:p w14:paraId="413F1024" w14:textId="77777777" w:rsidR="009B55B3" w:rsidRDefault="00CC309B">
      <w:pPr>
        <w:pStyle w:val="3"/>
      </w:pPr>
      <w:bookmarkStart w:id="12" w:name="术语和定义"/>
      <w:r>
        <w:t xml:space="preserve">3.1 </w:t>
      </w:r>
      <w:r>
        <w:rPr>
          <w:rFonts w:hint="eastAsia"/>
        </w:rPr>
        <w:t>术语和定义</w:t>
      </w:r>
    </w:p>
    <w:p w14:paraId="2B5B0E3F" w14:textId="77777777" w:rsidR="009B55B3" w:rsidRDefault="00CC309B">
      <w:pPr>
        <w:pStyle w:val="FirstParagraph"/>
      </w:pPr>
      <w:r>
        <w:t>GB/T 40429—2021</w:t>
      </w:r>
      <w:r>
        <w:t>、</w:t>
      </w:r>
      <w:r>
        <w:t>GB/T 44373—2024</w:t>
      </w:r>
      <w:r>
        <w:t>、</w:t>
      </w:r>
      <w:r>
        <w:t>GB/T 45312—2025</w:t>
      </w:r>
      <w:r>
        <w:t>、</w:t>
      </w:r>
      <w:r>
        <w:t xml:space="preserve">GB/T 46896—2025 </w:t>
      </w:r>
      <w:r>
        <w:rPr>
          <w:rFonts w:hint="eastAsia"/>
        </w:rPr>
        <w:t>和</w:t>
      </w:r>
      <w:r>
        <w:t xml:space="preserve"> GB/T 47025—2026 </w:t>
      </w:r>
      <w:r>
        <w:rPr>
          <w:rFonts w:hint="eastAsia"/>
        </w:rPr>
        <w:t>界定的以及下列术语和定义适用于本文件。</w:t>
      </w:r>
    </w:p>
    <w:p w14:paraId="5F3E4035" w14:textId="77777777" w:rsidR="009B55B3" w:rsidRDefault="00CC309B">
      <w:pPr>
        <w:pStyle w:val="a0"/>
      </w:pPr>
      <w:r>
        <w:rPr>
          <w:b/>
          <w:bCs/>
        </w:rPr>
        <w:t xml:space="preserve">3.1.1 </w:t>
      </w:r>
      <w:r>
        <w:rPr>
          <w:rFonts w:hint="eastAsia"/>
          <w:b/>
          <w:bCs/>
        </w:rPr>
        <w:t>交通仿真测试软件</w:t>
      </w:r>
      <w:r>
        <w:rPr>
          <w:b/>
          <w:bCs/>
        </w:rPr>
        <w:t xml:space="preserve"> traffic simulation testing software</w:t>
      </w:r>
    </w:p>
    <w:p w14:paraId="7232095E" w14:textId="77777777" w:rsidR="009B55B3" w:rsidRDefault="00CC309B">
      <w:pPr>
        <w:pStyle w:val="a0"/>
      </w:pPr>
      <w:r>
        <w:rPr>
          <w:rFonts w:hint="eastAsia"/>
        </w:rPr>
        <w:t>面向智能网联汽车研发、测试、验证和评价，对交通流、感知系统、通信系统和交通场景进行建模与仿真，并提供试验配置、运行控制和数据输入输出能力的软件系统。</w:t>
      </w:r>
    </w:p>
    <w:p w14:paraId="049E4C5E" w14:textId="77777777" w:rsidR="009B55B3" w:rsidRDefault="00CC309B">
      <w:pPr>
        <w:pStyle w:val="a0"/>
      </w:pPr>
      <w:r>
        <w:rPr>
          <w:rFonts w:hint="eastAsia"/>
        </w:rPr>
        <w:t>注：本文件中简称“仿真测试软件”。</w:t>
      </w:r>
    </w:p>
    <w:p w14:paraId="47E4774F" w14:textId="77777777" w:rsidR="009B55B3" w:rsidRDefault="00CC309B">
      <w:pPr>
        <w:pStyle w:val="a0"/>
      </w:pPr>
      <w:r>
        <w:rPr>
          <w:b/>
          <w:bCs/>
        </w:rPr>
        <w:t xml:space="preserve">3.1.2 </w:t>
      </w:r>
      <w:r>
        <w:rPr>
          <w:rFonts w:hint="eastAsia"/>
          <w:b/>
          <w:bCs/>
        </w:rPr>
        <w:t>仿真试验可信度</w:t>
      </w:r>
      <w:r>
        <w:rPr>
          <w:b/>
          <w:bCs/>
        </w:rPr>
        <w:t xml:space="preserve"> simulation test credibility</w:t>
      </w:r>
    </w:p>
    <w:p w14:paraId="22C1DE47" w14:textId="77777777" w:rsidR="009B55B3" w:rsidRDefault="00CC309B">
      <w:pPr>
        <w:pStyle w:val="a0"/>
      </w:pPr>
      <w:r>
        <w:rPr>
          <w:rFonts w:hint="eastAsia"/>
        </w:rPr>
        <w:t>仿真试验的结果能被相信的程度。</w:t>
      </w:r>
      <w:r>
        <w:br/>
      </w:r>
      <w:r>
        <w:rPr>
          <w:rFonts w:hint="eastAsia"/>
        </w:rPr>
        <w:t>[</w:t>
      </w:r>
      <w:r>
        <w:rPr>
          <w:rFonts w:hint="eastAsia"/>
        </w:rPr>
        <w:t>来源：</w:t>
      </w:r>
      <w:r>
        <w:rPr>
          <w:rFonts w:hint="eastAsia"/>
        </w:rPr>
        <w:t>GB/T</w:t>
      </w:r>
      <w:r>
        <w:t xml:space="preserve"> </w:t>
      </w:r>
      <w:r>
        <w:rPr>
          <w:rFonts w:hint="eastAsia"/>
        </w:rPr>
        <w:t>47025</w:t>
      </w:r>
      <w:r>
        <w:rPr>
          <w:rFonts w:hint="eastAsia"/>
        </w:rPr>
        <w:t>—</w:t>
      </w:r>
      <w:r>
        <w:rPr>
          <w:rFonts w:hint="eastAsia"/>
        </w:rPr>
        <w:t>2026</w:t>
      </w:r>
      <w:r>
        <w:rPr>
          <w:rFonts w:hint="eastAsia"/>
        </w:rPr>
        <w:t>，</w:t>
      </w:r>
      <w:r>
        <w:rPr>
          <w:rFonts w:hint="eastAsia"/>
        </w:rPr>
        <w:t>3.5]</w:t>
      </w:r>
    </w:p>
    <w:p w14:paraId="027915B3" w14:textId="77777777" w:rsidR="009B55B3" w:rsidRDefault="00CC309B">
      <w:pPr>
        <w:pStyle w:val="a0"/>
      </w:pPr>
      <w:r>
        <w:rPr>
          <w:b/>
          <w:bCs/>
        </w:rPr>
        <w:t xml:space="preserve">3.1.3 </w:t>
      </w:r>
      <w:r>
        <w:rPr>
          <w:rFonts w:hint="eastAsia"/>
          <w:b/>
          <w:bCs/>
        </w:rPr>
        <w:t>环境要素模型</w:t>
      </w:r>
      <w:r>
        <w:rPr>
          <w:b/>
          <w:bCs/>
        </w:rPr>
        <w:t xml:space="preserve"> environmental element model</w:t>
      </w:r>
    </w:p>
    <w:p w14:paraId="7A422793" w14:textId="77777777" w:rsidR="009B55B3" w:rsidRDefault="00CC309B">
      <w:pPr>
        <w:pStyle w:val="a0"/>
      </w:pPr>
      <w:r>
        <w:rPr>
          <w:rFonts w:hint="eastAsia"/>
        </w:rPr>
        <w:t>用于模拟气象、光照、能见度、路面状态等环境条件，以及这些条件对感知、定位、车辆动力学和交通参与者行为影响的模型。</w:t>
      </w:r>
    </w:p>
    <w:p w14:paraId="56F53168" w14:textId="77777777" w:rsidR="009B55B3" w:rsidRDefault="00CC309B">
      <w:pPr>
        <w:pStyle w:val="a0"/>
      </w:pPr>
      <w:r>
        <w:rPr>
          <w:b/>
          <w:bCs/>
        </w:rPr>
        <w:t xml:space="preserve">3.1.4 </w:t>
      </w:r>
      <w:r>
        <w:rPr>
          <w:rFonts w:hint="eastAsia"/>
          <w:b/>
          <w:bCs/>
        </w:rPr>
        <w:t>场景突发事件要素模型</w:t>
      </w:r>
      <w:r>
        <w:rPr>
          <w:b/>
          <w:bCs/>
        </w:rPr>
        <w:t xml:space="preserve"> scenario incident element model</w:t>
      </w:r>
    </w:p>
    <w:p w14:paraId="17754F0E" w14:textId="77777777" w:rsidR="009B55B3" w:rsidRDefault="00CC309B">
      <w:pPr>
        <w:pStyle w:val="a0"/>
      </w:pPr>
      <w:r>
        <w:rPr>
          <w:rFonts w:hint="eastAsia"/>
        </w:rPr>
        <w:t>用于模拟场景突发事件的发生、发展、影响和解除过程，以及该事件与道路环境、交通流、交通参与者、传感器模型和车辆动力学模型之间联动关系的模型。</w:t>
      </w:r>
    </w:p>
    <w:p w14:paraId="0A66919F" w14:textId="77777777" w:rsidR="009B55B3" w:rsidRDefault="00CC309B">
      <w:pPr>
        <w:pStyle w:val="a0"/>
      </w:pPr>
      <w:r>
        <w:rPr>
          <w:b/>
          <w:bCs/>
        </w:rPr>
        <w:t xml:space="preserve">3.1.5 </w:t>
      </w:r>
      <w:r>
        <w:rPr>
          <w:rFonts w:hint="eastAsia"/>
          <w:b/>
          <w:bCs/>
        </w:rPr>
        <w:t>可信度等级</w:t>
      </w:r>
      <w:r>
        <w:rPr>
          <w:b/>
          <w:bCs/>
        </w:rPr>
        <w:t xml:space="preserve"> credibility level</w:t>
      </w:r>
    </w:p>
    <w:p w14:paraId="1BED49D2" w14:textId="77777777" w:rsidR="009B55B3" w:rsidRDefault="00CC309B">
      <w:pPr>
        <w:pStyle w:val="a0"/>
      </w:pPr>
      <w:r>
        <w:rPr>
          <w:rFonts w:hint="eastAsia"/>
        </w:rPr>
        <w:t>在满足仿真试验可信度评估适用要求和证据要求的前提下，根据专业能力综合</w:t>
      </w:r>
      <w:r>
        <w:rPr>
          <w:rFonts w:hint="eastAsia"/>
        </w:rPr>
        <w:lastRenderedPageBreak/>
        <w:t>得分、各模块得分和规定判定条件确定的交通仿真测试软件可信度水平类别。</w:t>
      </w:r>
    </w:p>
    <w:p w14:paraId="7935B495" w14:textId="77777777" w:rsidR="009B55B3" w:rsidRDefault="00CC309B">
      <w:pPr>
        <w:pStyle w:val="a0"/>
      </w:pPr>
      <w:r>
        <w:rPr>
          <w:rFonts w:hint="eastAsia"/>
        </w:rPr>
        <w:t>注：具体等级及判定规则见</w:t>
      </w:r>
      <w:r>
        <w:t xml:space="preserve"> 6.5</w:t>
      </w:r>
      <w:r>
        <w:t>。</w:t>
      </w:r>
    </w:p>
    <w:p w14:paraId="1C5DBA48" w14:textId="77777777" w:rsidR="009B55B3" w:rsidRDefault="00CC309B">
      <w:pPr>
        <w:pStyle w:val="3"/>
      </w:pPr>
      <w:bookmarkStart w:id="13" w:name="缩略语"/>
      <w:bookmarkEnd w:id="12"/>
      <w:r>
        <w:t xml:space="preserve">3.2 </w:t>
      </w:r>
      <w:r>
        <w:rPr>
          <w:rFonts w:hint="eastAsia"/>
        </w:rPr>
        <w:t>缩略语</w:t>
      </w:r>
    </w:p>
    <w:p w14:paraId="52C02343" w14:textId="77777777" w:rsidR="009B55B3" w:rsidRDefault="00CC309B">
      <w:pPr>
        <w:pStyle w:val="FirstParagraph"/>
      </w:pPr>
      <w:r>
        <w:rPr>
          <w:rFonts w:hint="eastAsia"/>
        </w:rPr>
        <w:t>下列缩略语适用于本文件。</w:t>
      </w:r>
    </w:p>
    <w:p w14:paraId="3015A9A4" w14:textId="77777777" w:rsidR="009B55B3" w:rsidRDefault="00CC309B">
      <w:pPr>
        <w:pStyle w:val="a0"/>
      </w:pPr>
      <w:r>
        <w:rPr>
          <w:rFonts w:hint="eastAsia"/>
        </w:rPr>
        <w:t>CAN</w:t>
      </w:r>
      <w:r>
        <w:rPr>
          <w:rFonts w:hint="eastAsia"/>
        </w:rPr>
        <w:t>：控制器局域网总线（</w:t>
      </w:r>
      <w:r>
        <w:rPr>
          <w:rFonts w:hint="eastAsia"/>
        </w:rPr>
        <w:t>Controller</w:t>
      </w:r>
      <w:r>
        <w:t xml:space="preserve"> Area </w:t>
      </w:r>
      <w:r>
        <w:rPr>
          <w:rFonts w:hint="eastAsia"/>
        </w:rPr>
        <w:t>Network</w:t>
      </w:r>
      <w:r>
        <w:rPr>
          <w:rFonts w:hint="eastAsia"/>
        </w:rPr>
        <w:t>）</w:t>
      </w:r>
      <w:r>
        <w:br/>
        <w:t xml:space="preserve">CAN </w:t>
      </w:r>
      <w:r>
        <w:rPr>
          <w:rFonts w:hint="eastAsia"/>
        </w:rPr>
        <w:t>FD</w:t>
      </w:r>
      <w:r>
        <w:rPr>
          <w:rFonts w:hint="eastAsia"/>
        </w:rPr>
        <w:t>：灵活数据速率</w:t>
      </w:r>
      <w:r>
        <w:t xml:space="preserve"> </w:t>
      </w:r>
      <w:r>
        <w:rPr>
          <w:rFonts w:hint="eastAsia"/>
        </w:rPr>
        <w:t>CAN</w:t>
      </w:r>
      <w:r>
        <w:rPr>
          <w:rFonts w:hint="eastAsia"/>
        </w:rPr>
        <w:t>（</w:t>
      </w:r>
      <w:r>
        <w:rPr>
          <w:rFonts w:hint="eastAsia"/>
        </w:rPr>
        <w:t>CAN</w:t>
      </w:r>
      <w:r>
        <w:t xml:space="preserve"> with Flexible </w:t>
      </w:r>
      <w:r>
        <w:rPr>
          <w:rFonts w:hint="eastAsia"/>
        </w:rPr>
        <w:t>Data-rate</w:t>
      </w:r>
      <w:r>
        <w:rPr>
          <w:rFonts w:hint="eastAsia"/>
        </w:rPr>
        <w:t>）</w:t>
      </w:r>
      <w:r>
        <w:br/>
      </w:r>
      <w:r>
        <w:rPr>
          <w:rFonts w:hint="eastAsia"/>
        </w:rPr>
        <w:t>GNSS</w:t>
      </w:r>
      <w:r>
        <w:rPr>
          <w:rFonts w:hint="eastAsia"/>
        </w:rPr>
        <w:t>：全球导航卫星系统（</w:t>
      </w:r>
      <w:r>
        <w:rPr>
          <w:rFonts w:hint="eastAsia"/>
        </w:rPr>
        <w:t>Global</w:t>
      </w:r>
      <w:r>
        <w:t xml:space="preserve"> Navigation Satellite </w:t>
      </w:r>
      <w:r>
        <w:rPr>
          <w:rFonts w:hint="eastAsia"/>
        </w:rPr>
        <w:t>System</w:t>
      </w:r>
      <w:r>
        <w:rPr>
          <w:rFonts w:hint="eastAsia"/>
        </w:rPr>
        <w:t>）</w:t>
      </w:r>
      <w:r>
        <w:br/>
      </w:r>
      <w:r>
        <w:rPr>
          <w:rFonts w:hint="eastAsia"/>
        </w:rPr>
        <w:t>HIL</w:t>
      </w:r>
      <w:r>
        <w:rPr>
          <w:rFonts w:hint="eastAsia"/>
        </w:rPr>
        <w:t>：硬件在环测试（</w:t>
      </w:r>
      <w:r>
        <w:rPr>
          <w:rFonts w:hint="eastAsia"/>
        </w:rPr>
        <w:t>Hardware-in-the-Loop</w:t>
      </w:r>
      <w:r>
        <w:rPr>
          <w:rFonts w:hint="eastAsia"/>
        </w:rPr>
        <w:t>）</w:t>
      </w:r>
      <w:r>
        <w:br/>
      </w:r>
      <w:r>
        <w:rPr>
          <w:rFonts w:hint="eastAsia"/>
        </w:rPr>
        <w:t>LIN</w:t>
      </w:r>
      <w:r>
        <w:rPr>
          <w:rFonts w:hint="eastAsia"/>
        </w:rPr>
        <w:t>：本地互连网络（</w:t>
      </w:r>
      <w:r>
        <w:rPr>
          <w:rFonts w:hint="eastAsia"/>
        </w:rPr>
        <w:t>Local</w:t>
      </w:r>
      <w:r>
        <w:t xml:space="preserve"> Interconnect </w:t>
      </w:r>
      <w:r>
        <w:rPr>
          <w:rFonts w:hint="eastAsia"/>
        </w:rPr>
        <w:t>Network</w:t>
      </w:r>
      <w:r>
        <w:rPr>
          <w:rFonts w:hint="eastAsia"/>
        </w:rPr>
        <w:t>）</w:t>
      </w:r>
      <w:r>
        <w:br/>
      </w:r>
      <w:r>
        <w:rPr>
          <w:rFonts w:hint="eastAsia"/>
        </w:rPr>
        <w:t>OBU</w:t>
      </w:r>
      <w:r>
        <w:rPr>
          <w:rFonts w:hint="eastAsia"/>
        </w:rPr>
        <w:t>：车载单元（</w:t>
      </w:r>
      <w:r>
        <w:rPr>
          <w:rFonts w:hint="eastAsia"/>
        </w:rPr>
        <w:t>On-Board</w:t>
      </w:r>
      <w:r>
        <w:t xml:space="preserve"> </w:t>
      </w:r>
      <w:r>
        <w:rPr>
          <w:rFonts w:hint="eastAsia"/>
        </w:rPr>
        <w:t>Unit</w:t>
      </w:r>
      <w:r>
        <w:rPr>
          <w:rFonts w:hint="eastAsia"/>
        </w:rPr>
        <w:t>）</w:t>
      </w:r>
      <w:r>
        <w:br/>
      </w:r>
      <w:r>
        <w:rPr>
          <w:rFonts w:hint="eastAsia"/>
        </w:rPr>
        <w:t>RSU</w:t>
      </w:r>
      <w:r>
        <w:rPr>
          <w:rFonts w:hint="eastAsia"/>
        </w:rPr>
        <w:t>：路侧单元（</w:t>
      </w:r>
      <w:r>
        <w:rPr>
          <w:rFonts w:hint="eastAsia"/>
        </w:rPr>
        <w:t>Roadside</w:t>
      </w:r>
      <w:r>
        <w:t xml:space="preserve"> </w:t>
      </w:r>
      <w:r>
        <w:rPr>
          <w:rFonts w:hint="eastAsia"/>
        </w:rPr>
        <w:t>Unit</w:t>
      </w:r>
      <w:r>
        <w:rPr>
          <w:rFonts w:hint="eastAsia"/>
        </w:rPr>
        <w:t>）</w:t>
      </w:r>
      <w:r>
        <w:br/>
      </w:r>
      <w:r>
        <w:rPr>
          <w:rFonts w:hint="eastAsia"/>
        </w:rPr>
        <w:t>SIL</w:t>
      </w:r>
      <w:r>
        <w:rPr>
          <w:rFonts w:hint="eastAsia"/>
        </w:rPr>
        <w:t>：软件在环测试（</w:t>
      </w:r>
      <w:r>
        <w:rPr>
          <w:rFonts w:hint="eastAsia"/>
        </w:rPr>
        <w:t>Software-in-the-Loop</w:t>
      </w:r>
      <w:r>
        <w:rPr>
          <w:rFonts w:hint="eastAsia"/>
        </w:rPr>
        <w:t>）</w:t>
      </w:r>
      <w:r>
        <w:br/>
      </w:r>
      <w:r>
        <w:rPr>
          <w:rFonts w:hint="eastAsia"/>
        </w:rPr>
        <w:t>VIL</w:t>
      </w:r>
      <w:r>
        <w:rPr>
          <w:rFonts w:hint="eastAsia"/>
        </w:rPr>
        <w:t>：车辆在环测试（</w:t>
      </w:r>
      <w:r>
        <w:rPr>
          <w:rFonts w:hint="eastAsia"/>
        </w:rPr>
        <w:t>Vehicle-in-the-Loop</w:t>
      </w:r>
      <w:r>
        <w:rPr>
          <w:rFonts w:hint="eastAsia"/>
        </w:rPr>
        <w:t>）</w:t>
      </w:r>
      <w:r>
        <w:br/>
      </w:r>
      <w:r>
        <w:rPr>
          <w:rFonts w:hint="eastAsia"/>
        </w:rPr>
        <w:t>V2I</w:t>
      </w:r>
      <w:r>
        <w:rPr>
          <w:rFonts w:hint="eastAsia"/>
        </w:rPr>
        <w:t>：车路（基础设施）通信（</w:t>
      </w:r>
      <w:r>
        <w:rPr>
          <w:rFonts w:hint="eastAsia"/>
        </w:rPr>
        <w:t>Vehicle</w:t>
      </w:r>
      <w:r>
        <w:t xml:space="preserve"> to </w:t>
      </w:r>
      <w:r>
        <w:rPr>
          <w:rFonts w:hint="eastAsia"/>
        </w:rPr>
        <w:t>Infrastructure</w:t>
      </w:r>
      <w:r>
        <w:rPr>
          <w:rFonts w:hint="eastAsia"/>
        </w:rPr>
        <w:t>）</w:t>
      </w:r>
      <w:r>
        <w:br/>
      </w:r>
      <w:r>
        <w:rPr>
          <w:rFonts w:hint="eastAsia"/>
        </w:rPr>
        <w:t>V2N</w:t>
      </w:r>
      <w:r>
        <w:rPr>
          <w:rFonts w:hint="eastAsia"/>
        </w:rPr>
        <w:t>：车网（云端）通信（</w:t>
      </w:r>
      <w:r>
        <w:rPr>
          <w:rFonts w:hint="eastAsia"/>
        </w:rPr>
        <w:t>Vehicle</w:t>
      </w:r>
      <w:r>
        <w:t xml:space="preserve"> to </w:t>
      </w:r>
      <w:r>
        <w:rPr>
          <w:rFonts w:hint="eastAsia"/>
        </w:rPr>
        <w:t>Network</w:t>
      </w:r>
      <w:r>
        <w:rPr>
          <w:rFonts w:hint="eastAsia"/>
        </w:rPr>
        <w:t>）</w:t>
      </w:r>
      <w:r>
        <w:br/>
      </w:r>
      <w:r>
        <w:rPr>
          <w:rFonts w:hint="eastAsia"/>
        </w:rPr>
        <w:t>V2P</w:t>
      </w:r>
      <w:r>
        <w:rPr>
          <w:rFonts w:hint="eastAsia"/>
        </w:rPr>
        <w:t>：车人（行人）通信（</w:t>
      </w:r>
      <w:r>
        <w:rPr>
          <w:rFonts w:hint="eastAsia"/>
        </w:rPr>
        <w:t>Vehicle</w:t>
      </w:r>
      <w:r>
        <w:t xml:space="preserve"> to </w:t>
      </w:r>
      <w:r>
        <w:rPr>
          <w:rFonts w:hint="eastAsia"/>
        </w:rPr>
        <w:t>Pedestrian</w:t>
      </w:r>
      <w:r>
        <w:rPr>
          <w:rFonts w:hint="eastAsia"/>
        </w:rPr>
        <w:t>）</w:t>
      </w:r>
      <w:r>
        <w:br/>
      </w:r>
      <w:r>
        <w:rPr>
          <w:rFonts w:hint="eastAsia"/>
        </w:rPr>
        <w:t>V2V</w:t>
      </w:r>
      <w:r>
        <w:rPr>
          <w:rFonts w:hint="eastAsia"/>
        </w:rPr>
        <w:t>：车车通信（</w:t>
      </w:r>
      <w:r>
        <w:rPr>
          <w:rFonts w:hint="eastAsia"/>
        </w:rPr>
        <w:t>Vehicle</w:t>
      </w:r>
      <w:r>
        <w:t xml:space="preserve"> to </w:t>
      </w:r>
      <w:r>
        <w:rPr>
          <w:rFonts w:hint="eastAsia"/>
        </w:rPr>
        <w:t>Vehicle</w:t>
      </w:r>
      <w:r>
        <w:rPr>
          <w:rFonts w:hint="eastAsia"/>
        </w:rPr>
        <w:t>）</w:t>
      </w:r>
      <w:r>
        <w:br/>
      </w:r>
      <w:r>
        <w:rPr>
          <w:rFonts w:hint="eastAsia"/>
        </w:rPr>
        <w:t>V2X</w:t>
      </w:r>
      <w:r>
        <w:rPr>
          <w:rFonts w:hint="eastAsia"/>
        </w:rPr>
        <w:t>：一种车辆与外界通信的技术（</w:t>
      </w:r>
      <w:r>
        <w:rPr>
          <w:rFonts w:hint="eastAsia"/>
        </w:rPr>
        <w:t>Vehicle</w:t>
      </w:r>
      <w:r>
        <w:t xml:space="preserve"> to </w:t>
      </w:r>
      <w:r>
        <w:rPr>
          <w:rFonts w:hint="eastAsia"/>
        </w:rPr>
        <w:t>Everything</w:t>
      </w:r>
      <w:r>
        <w:rPr>
          <w:rFonts w:hint="eastAsia"/>
        </w:rPr>
        <w:t>）</w:t>
      </w:r>
    </w:p>
    <w:p w14:paraId="4A19CC6C" w14:textId="77777777" w:rsidR="009B55B3" w:rsidRDefault="00CC309B">
      <w:pPr>
        <w:pStyle w:val="2"/>
      </w:pPr>
      <w:bookmarkStart w:id="14" w:name="智能网联汽车交通仿真测试软件可信度评估框架"/>
      <w:bookmarkEnd w:id="11"/>
      <w:bookmarkEnd w:id="13"/>
      <w:r>
        <w:t xml:space="preserve">4 </w:t>
      </w:r>
      <w:r>
        <w:rPr>
          <w:rFonts w:hint="eastAsia"/>
        </w:rPr>
        <w:t>智能网联汽车交通仿真测试软件可信度评估框架</w:t>
      </w:r>
    </w:p>
    <w:p w14:paraId="5AC42EE3" w14:textId="77777777" w:rsidR="009B55B3" w:rsidRDefault="00CC309B">
      <w:pPr>
        <w:pStyle w:val="3"/>
      </w:pPr>
      <w:bookmarkStart w:id="15" w:name="智能网联汽车交通仿真测试软件可信度评估框架体系概述"/>
      <w:r>
        <w:t xml:space="preserve">4.1 </w:t>
      </w:r>
      <w:r>
        <w:rPr>
          <w:rFonts w:hint="eastAsia"/>
        </w:rPr>
        <w:t>智能网联汽车交通仿真测试软件可信度评估框架体系概述</w:t>
      </w:r>
    </w:p>
    <w:p w14:paraId="3347AAA2" w14:textId="77777777" w:rsidR="009B55B3" w:rsidRDefault="00CC309B">
      <w:pPr>
        <w:pStyle w:val="FirstParagraph"/>
      </w:pPr>
      <w:r>
        <w:rPr>
          <w:rFonts w:hint="eastAsia"/>
        </w:rPr>
        <w:t>仿真测试软件可信度评估由仿真试验可信度评估和专业能力评估组成。前者按照</w:t>
      </w:r>
      <w:r>
        <w:t xml:space="preserve"> GB/T </w:t>
      </w:r>
      <w:r>
        <w:rPr>
          <w:rFonts w:hint="eastAsia"/>
        </w:rPr>
        <w:t>47025</w:t>
      </w:r>
      <w:r>
        <w:rPr>
          <w:rFonts w:hint="eastAsia"/>
        </w:rPr>
        <w:t>—</w:t>
      </w:r>
      <w:r>
        <w:rPr>
          <w:rFonts w:hint="eastAsia"/>
        </w:rPr>
        <w:t>2026</w:t>
      </w:r>
      <w:r>
        <w:rPr>
          <w:rFonts w:hint="eastAsia"/>
        </w:rPr>
        <w:t>《智能网联汽车自动驾驶功能仿真试验方法及要求》，评估仿真试验工具链及相关模型的管理、分析、验证、确认和文件化情况；后者依据本章和第</w:t>
      </w:r>
      <w:r>
        <w:rPr>
          <w:rFonts w:hint="eastAsia"/>
        </w:rPr>
        <w:t>5</w:t>
      </w:r>
      <w:r>
        <w:rPr>
          <w:rFonts w:hint="eastAsia"/>
        </w:rPr>
        <w:t>章，评估交通流、感知、通信、交通场景仿真及软件通用性。两项评估应针对同一软件版本、工具链配置、模型、数据条件和预定应用场景开展。</w:t>
      </w:r>
    </w:p>
    <w:p w14:paraId="5F69DF78" w14:textId="28A4D12D" w:rsidR="009B55B3" w:rsidRDefault="00CC309B">
      <w:pPr>
        <w:pStyle w:val="a0"/>
      </w:pPr>
      <w:r>
        <w:rPr>
          <w:rFonts w:hint="eastAsia"/>
        </w:rPr>
        <w:lastRenderedPageBreak/>
        <w:t>在此基础上，建立“仿真能力基础—测试验证过程—可信度指标评价—综合等级判定”框架。评估从软件功能能力入手，重点考察交通流、感知、通信和交通场景模型：先核查环境建模、传感器仿真、通信模拟和交通行为生成能力，再通过软件在环（</w:t>
      </w:r>
      <w:r>
        <w:rPr>
          <w:rFonts w:hint="eastAsia"/>
        </w:rPr>
        <w:t>SIL</w:t>
      </w:r>
      <w:r>
        <w:rPr>
          <w:rFonts w:hint="eastAsia"/>
        </w:rPr>
        <w:t>）、硬件在环（</w:t>
      </w:r>
      <w:r>
        <w:rPr>
          <w:rFonts w:hint="eastAsia"/>
        </w:rPr>
        <w:t>HIL</w:t>
      </w:r>
      <w:r>
        <w:rPr>
          <w:rFonts w:hint="eastAsia"/>
        </w:rPr>
        <w:t>）、车辆在环（</w:t>
      </w:r>
      <w:r>
        <w:rPr>
          <w:rFonts w:hint="eastAsia"/>
        </w:rPr>
        <w:t>VIL</w:t>
      </w:r>
      <w:r>
        <w:rPr>
          <w:rFonts w:hint="eastAsia"/>
        </w:rPr>
        <w:t>）及虚实融合测试验证运行可靠性和闭环能力，最后从模型准确性、数据一致性、行为真实性和结果可重复性等方面进行量化评价，形成可比较的可信度等级。</w:t>
      </w:r>
    </w:p>
    <w:p w14:paraId="55F973CD" w14:textId="7D81A67E" w:rsidR="005B5276" w:rsidRDefault="005B5276">
      <w:pPr>
        <w:pStyle w:val="a0"/>
      </w:pPr>
    </w:p>
    <w:p w14:paraId="2665EC60" w14:textId="38AAD206" w:rsidR="005B5276" w:rsidRDefault="005B5276" w:rsidP="005B5276">
      <w:pPr>
        <w:pStyle w:val="a0"/>
        <w:jc w:val="center"/>
      </w:pPr>
      <w:r>
        <w:rPr>
          <w:noProof/>
        </w:rPr>
        <w:drawing>
          <wp:inline distT="0" distB="0" distL="0" distR="0" wp14:anchorId="674AA57F" wp14:editId="561A2E8B">
            <wp:extent cx="5270500" cy="4767616"/>
            <wp:effectExtent l="0" t="0" r="6350" b="0"/>
            <wp:docPr id="2028058167"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8058167" name="图片 5"/>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a:xfrm>
                      <a:off x="0" y="0"/>
                      <a:ext cx="5270500" cy="4767616"/>
                    </a:xfrm>
                    <a:prstGeom prst="rect">
                      <a:avLst/>
                    </a:prstGeom>
                    <a:noFill/>
                  </pic:spPr>
                </pic:pic>
              </a:graphicData>
            </a:graphic>
          </wp:inline>
        </w:drawing>
      </w:r>
    </w:p>
    <w:p w14:paraId="7BAED788" w14:textId="77777777" w:rsidR="009B55B3" w:rsidRDefault="00CC309B" w:rsidP="005B5276">
      <w:pPr>
        <w:pStyle w:val="a0"/>
        <w:jc w:val="center"/>
      </w:pPr>
      <w:r>
        <w:rPr>
          <w:rFonts w:hint="eastAsia"/>
        </w:rPr>
        <w:t>图</w:t>
      </w:r>
      <w:r>
        <w:rPr>
          <w:rFonts w:hint="eastAsia"/>
        </w:rPr>
        <w:t>1</w:t>
      </w:r>
      <w:r>
        <w:t xml:space="preserve"> </w:t>
      </w:r>
      <w:r>
        <w:rPr>
          <w:rFonts w:hint="eastAsia"/>
        </w:rPr>
        <w:t>智能网联汽车交通仿真测试软件可信度评估总体框架</w:t>
      </w:r>
    </w:p>
    <w:p w14:paraId="7D8F6D8B" w14:textId="77777777" w:rsidR="009B55B3" w:rsidRDefault="00CC309B">
      <w:pPr>
        <w:pStyle w:val="3"/>
      </w:pPr>
      <w:bookmarkStart w:id="16" w:name="交通流仿真"/>
      <w:bookmarkEnd w:id="15"/>
      <w:r>
        <w:t xml:space="preserve">4.2 </w:t>
      </w:r>
      <w:r>
        <w:rPr>
          <w:rFonts w:hint="eastAsia"/>
        </w:rPr>
        <w:t>交通流仿真</w:t>
      </w:r>
    </w:p>
    <w:p w14:paraId="026A787E" w14:textId="77777777" w:rsidR="009B55B3" w:rsidRDefault="00CC309B">
      <w:pPr>
        <w:pStyle w:val="3"/>
      </w:pPr>
      <w:bookmarkStart w:id="17" w:name="宏观交通流仿真模型"/>
      <w:bookmarkEnd w:id="16"/>
      <w:r>
        <w:t xml:space="preserve">4.2.1 </w:t>
      </w:r>
      <w:r>
        <w:rPr>
          <w:rFonts w:hint="eastAsia"/>
        </w:rPr>
        <w:t>宏观交通流仿真模型</w:t>
      </w:r>
    </w:p>
    <w:p w14:paraId="499D2B27" w14:textId="77777777" w:rsidR="009B55B3" w:rsidRDefault="00CC309B">
      <w:pPr>
        <w:pStyle w:val="FirstParagraph"/>
      </w:pPr>
      <w:r>
        <w:rPr>
          <w:rFonts w:hint="eastAsia"/>
        </w:rPr>
        <w:t>仿真场景配置功能应符合下列规定：</w:t>
      </w:r>
    </w:p>
    <w:p w14:paraId="2D8D458C" w14:textId="77777777" w:rsidR="009B55B3" w:rsidRDefault="00CC309B">
      <w:pPr>
        <w:pStyle w:val="a0"/>
      </w:pPr>
      <w:r>
        <w:lastRenderedPageBreak/>
        <w:t xml:space="preserve">a) </w:t>
      </w:r>
      <w:r>
        <w:rPr>
          <w:rFonts w:hint="eastAsia"/>
        </w:rPr>
        <w:t>支持路网几何拓扑、车道数、车道长度、道路等级、限速值、坡度、曲率、匝道布设、交叉路口渠化设计等基础设施参数配置。</w:t>
      </w:r>
      <w:r>
        <w:br/>
        <w:t xml:space="preserve">b) </w:t>
      </w:r>
      <w:r>
        <w:rPr>
          <w:rFonts w:hint="eastAsia"/>
        </w:rPr>
        <w:t>支持随时间变化的起讫点交通需求矩阵输入，并应支持按时间片、车辆类型或出行需求类型进行配置。</w:t>
      </w:r>
      <w:r>
        <w:br/>
        <w:t xml:space="preserve">c) </w:t>
      </w:r>
      <w:r>
        <w:rPr>
          <w:rFonts w:hint="eastAsia"/>
        </w:rPr>
        <w:t>支持匝道控制、可变限速、动态车道分配、干线信号协调、区域信号联动、公交优先、应急管控等交通管理与控制策略的配置与仿真。</w:t>
      </w:r>
    </w:p>
    <w:p w14:paraId="1FB1D631" w14:textId="77777777" w:rsidR="009B55B3" w:rsidRDefault="00CC309B">
      <w:pPr>
        <w:pStyle w:val="a0"/>
      </w:pPr>
      <w:r>
        <w:rPr>
          <w:rFonts w:hint="eastAsia"/>
        </w:rPr>
        <w:t>宏观交通流运行状态表征应符合下列规定：</w:t>
      </w:r>
    </w:p>
    <w:p w14:paraId="0472D079" w14:textId="77777777" w:rsidR="009B55B3" w:rsidRDefault="00CC309B">
      <w:pPr>
        <w:pStyle w:val="a0"/>
      </w:pPr>
      <w:r>
        <w:t xml:space="preserve">a) </w:t>
      </w:r>
      <w:r>
        <w:rPr>
          <w:rFonts w:hint="eastAsia"/>
        </w:rPr>
        <w:t>能模拟设定的交通流率、平均速度、交通密度等宏观交通流参数，并应对输入参数的取值范围和量纲进行校验。对超出设定适用范围的参数，应给出提示、修正建议或按预设规则进行约束处理。</w:t>
      </w:r>
      <w:r>
        <w:br/>
        <w:t xml:space="preserve">b) </w:t>
      </w:r>
      <w:r>
        <w:rPr>
          <w:rFonts w:hint="eastAsia"/>
        </w:rPr>
        <w:t>能表征交通流率、平均速度、交通密度等宏观交通流参数之间的关系，且参数关系应与基准数据或经验证的交通流模型保持一致。开展参数关系验证时，应优先采用仿真路段的实测数据；无法获取该路段实测数据时，可采用同类道路条件、交通组成和管理控制条件下的实测数据，并应说明数据来源、适用条件和替代依据。</w:t>
      </w:r>
      <w:r>
        <w:br/>
        <w:t xml:space="preserve">c) </w:t>
      </w:r>
      <w:r>
        <w:rPr>
          <w:rFonts w:hint="eastAsia"/>
        </w:rPr>
        <w:t>具备异质交通流仿真能力，并能表征不同车辆类型及不同渗透率条件下宏观交通流参数关系的变化。车辆类型可按车辆智能化特征划分为智能网联汽车、自动驾驶汽车、人工驾驶汽车等，也可按车辆用途划分为轿车、客车、货车等；各类车辆的渗透率应支持静态配置和动态调整。</w:t>
      </w:r>
      <w:r>
        <w:br/>
        <w:t xml:space="preserve">d) </w:t>
      </w:r>
      <w:r>
        <w:rPr>
          <w:rFonts w:hint="eastAsia"/>
        </w:rPr>
        <w:t>能表征交叉路口排队、排队溢出、瓶颈路段通行能力下降、拥堵形成与消散、冲击波传播等典型宏观交通现象。</w:t>
      </w:r>
      <w:r>
        <w:br/>
        <w:t xml:space="preserve">e) </w:t>
      </w:r>
      <w:r>
        <w:rPr>
          <w:rFonts w:hint="eastAsia"/>
        </w:rPr>
        <w:t>支持宏观交通运行性能指标的输出和导出，指标至少包括路网总旅行时间、总延误、平均速度、路网通行量、平均排队长度、饱和度、通行能力利用率等。</w:t>
      </w:r>
    </w:p>
    <w:p w14:paraId="43B46E0D" w14:textId="77777777" w:rsidR="009B55B3" w:rsidRDefault="00CC309B">
      <w:pPr>
        <w:pStyle w:val="3"/>
      </w:pPr>
      <w:bookmarkStart w:id="18" w:name="微观交通流仿真模型"/>
      <w:bookmarkEnd w:id="17"/>
      <w:r>
        <w:t xml:space="preserve">4.2.2 </w:t>
      </w:r>
      <w:r>
        <w:rPr>
          <w:rFonts w:hint="eastAsia"/>
        </w:rPr>
        <w:t>微观交通流仿真模型</w:t>
      </w:r>
    </w:p>
    <w:p w14:paraId="7BEEB61F" w14:textId="77777777" w:rsidR="009B55B3" w:rsidRPr="008E4034" w:rsidRDefault="00CC309B">
      <w:pPr>
        <w:pStyle w:val="FirstParagraph"/>
        <w:rPr>
          <w:b/>
          <w:bCs/>
        </w:rPr>
      </w:pPr>
      <w:r w:rsidRPr="008E4034">
        <w:rPr>
          <w:rFonts w:hint="eastAsia"/>
          <w:b/>
          <w:bCs/>
        </w:rPr>
        <w:t>仿真对象与行为模型配置应符合下列规定：</w:t>
      </w:r>
    </w:p>
    <w:p w14:paraId="0FCDB575" w14:textId="77777777" w:rsidR="009B55B3" w:rsidRDefault="00CC309B">
      <w:pPr>
        <w:pStyle w:val="a0"/>
      </w:pPr>
      <w:r>
        <w:t xml:space="preserve">a) </w:t>
      </w:r>
      <w:r>
        <w:rPr>
          <w:rFonts w:hint="eastAsia"/>
        </w:rPr>
        <w:t>支持机动车、非机动车、行人、动物等多类型交通参与者仿真，并应内置或支持接入相应交通参与者的运动模型、行为模型，以及不同交通参与者之间的交互模型。</w:t>
      </w:r>
      <w:r>
        <w:br/>
      </w:r>
      <w:r>
        <w:lastRenderedPageBreak/>
        <w:t xml:space="preserve">b) </w:t>
      </w:r>
      <w:r>
        <w:rPr>
          <w:rFonts w:hint="eastAsia"/>
        </w:rPr>
        <w:t>车辆行为模型应支持纵向和横向行为仿真，用于模拟智能网联汽车、自动驾驶汽车、人工驾驶汽车等车辆的微观交通行为，至少应覆盖跟驰、主动换道、被动换道、并道、信号灯响应、起步、制动、交叉路口转向、匝道汇入与汇出、让行等行为。</w:t>
      </w:r>
      <w:r>
        <w:br/>
        <w:t xml:space="preserve">c) </w:t>
      </w:r>
      <w:r>
        <w:rPr>
          <w:rFonts w:hint="eastAsia"/>
        </w:rPr>
        <w:t>车辆行为模型应能表征不同车辆类型在动力学性能、驾驶行为、响应延迟、协同行为和控制策略等方面的差异，并应支持内置车辆参数库或用户自定义参数库。</w:t>
      </w:r>
      <w:r>
        <w:br/>
        <w:t xml:space="preserve">d) </w:t>
      </w:r>
      <w:r>
        <w:rPr>
          <w:rFonts w:hint="eastAsia"/>
        </w:rPr>
        <w:t>车辆行为模型应具备表征驾驶习惯、驾驶风格和驾驶技能差异的功能，并应支持对期望速度、期望车头时距、最小跟驰间距、最大加速度、最大减速度、反应时间、换道接受间隙等关键参数进行配置，或按概率分布进行建模。</w:t>
      </w:r>
    </w:p>
    <w:p w14:paraId="61B6F616" w14:textId="77777777" w:rsidR="009B55B3" w:rsidRPr="008E4034" w:rsidRDefault="00CC309B">
      <w:pPr>
        <w:pStyle w:val="a0"/>
        <w:rPr>
          <w:b/>
          <w:bCs/>
        </w:rPr>
      </w:pPr>
      <w:r w:rsidRPr="008E4034">
        <w:rPr>
          <w:rFonts w:hint="eastAsia"/>
          <w:b/>
          <w:bCs/>
        </w:rPr>
        <w:t>控制功能配置与策略接入应符合下列规定：</w:t>
      </w:r>
    </w:p>
    <w:p w14:paraId="430B86C1" w14:textId="77777777" w:rsidR="009B55B3" w:rsidRDefault="00CC309B">
      <w:pPr>
        <w:pStyle w:val="a0"/>
      </w:pPr>
      <w:r>
        <w:t xml:space="preserve">a) </w:t>
      </w:r>
      <w:r>
        <w:rPr>
          <w:rFonts w:hint="eastAsia"/>
        </w:rPr>
        <w:t>支持交叉路口信号配时方案配置，配置内容至少包括相位序列、周期时长、绿信比、黄灯时间、全红时间、相位差、感应控制参数等；应</w:t>
      </w:r>
      <w:proofErr w:type="gramStart"/>
      <w:r>
        <w:rPr>
          <w:rFonts w:hint="eastAsia"/>
        </w:rPr>
        <w:t>支持自</w:t>
      </w:r>
      <w:proofErr w:type="gramEnd"/>
      <w:r>
        <w:rPr>
          <w:rFonts w:hint="eastAsia"/>
        </w:rPr>
        <w:t>适应信号控制算法的运行，并应支持外部信号控制逻辑的接入。</w:t>
      </w:r>
      <w:r>
        <w:br/>
        <w:t xml:space="preserve">b) </w:t>
      </w:r>
      <w:r>
        <w:rPr>
          <w:rFonts w:hint="eastAsia"/>
        </w:rPr>
        <w:t>支持智能网联汽车和自动驾驶汽车控制策略接入，包括纵向控制、横向控制、换道决策、路径规划、协同控制及车路协同决策算法等。</w:t>
      </w:r>
    </w:p>
    <w:p w14:paraId="2C3D6F02" w14:textId="77777777" w:rsidR="009B55B3" w:rsidRPr="008E4034" w:rsidRDefault="00CC309B">
      <w:pPr>
        <w:pStyle w:val="a0"/>
        <w:rPr>
          <w:b/>
          <w:bCs/>
        </w:rPr>
      </w:pPr>
      <w:r w:rsidRPr="008E4034">
        <w:rPr>
          <w:rFonts w:hint="eastAsia"/>
          <w:b/>
          <w:bCs/>
        </w:rPr>
        <w:t>仿真条件与运行参数设置应符合下列规定：</w:t>
      </w:r>
    </w:p>
    <w:p w14:paraId="4BD871D9" w14:textId="77777777" w:rsidR="009B55B3" w:rsidRDefault="00CC309B">
      <w:pPr>
        <w:pStyle w:val="a0"/>
      </w:pPr>
      <w:r>
        <w:t xml:space="preserve">a) </w:t>
      </w:r>
      <w:r>
        <w:rPr>
          <w:rFonts w:hint="eastAsia"/>
        </w:rPr>
        <w:t>支持声环境、光照、能见度、天气条件、路面附着系数等交通环境条件配置，并应能表征环境条件与驾驶行为之间的相互影响。</w:t>
      </w:r>
      <w:r>
        <w:br/>
        <w:t xml:space="preserve">b) </w:t>
      </w:r>
      <w:r>
        <w:rPr>
          <w:rFonts w:hint="eastAsia"/>
        </w:rPr>
        <w:t>支持仿真初始状态设置，至少包括不同交通参与者的初始位置、初始速度、初始运动方向、初始车道或初始活动区域等。</w:t>
      </w:r>
      <w:r>
        <w:br/>
        <w:t xml:space="preserve">c) </w:t>
      </w:r>
      <w:r>
        <w:rPr>
          <w:rFonts w:hint="eastAsia"/>
        </w:rPr>
        <w:t>支持根据仿真场景和计算需求配置不同的仿真步长。</w:t>
      </w:r>
      <w:r>
        <w:br/>
        <w:t xml:space="preserve">d) </w:t>
      </w:r>
      <w:r>
        <w:rPr>
          <w:rFonts w:hint="eastAsia"/>
        </w:rPr>
        <w:t>支持随机数种子设置和同一场景下多次仿真运行，并应支持相应仿真结果导出，以满足重复性检验、敏感性分析和统计显著性分析要求。</w:t>
      </w:r>
    </w:p>
    <w:p w14:paraId="49946EAB" w14:textId="77777777" w:rsidR="009B55B3" w:rsidRPr="008E4034" w:rsidRDefault="00CC309B">
      <w:pPr>
        <w:pStyle w:val="a0"/>
        <w:rPr>
          <w:b/>
          <w:bCs/>
        </w:rPr>
      </w:pPr>
      <w:r w:rsidRPr="008E4034">
        <w:rPr>
          <w:rFonts w:hint="eastAsia"/>
          <w:b/>
          <w:bCs/>
        </w:rPr>
        <w:t>异常行为与异常事件仿真应符合下列规定：</w:t>
      </w:r>
    </w:p>
    <w:p w14:paraId="5E6671FB" w14:textId="77777777" w:rsidR="009B55B3" w:rsidRDefault="00CC309B">
      <w:pPr>
        <w:pStyle w:val="a0"/>
      </w:pPr>
      <w:r>
        <w:t xml:space="preserve">a) </w:t>
      </w:r>
      <w:r>
        <w:rPr>
          <w:rFonts w:hint="eastAsia"/>
        </w:rPr>
        <w:t>在常规仿真条件下，应具备识别和</w:t>
      </w:r>
      <w:proofErr w:type="gramStart"/>
      <w:r>
        <w:rPr>
          <w:rFonts w:hint="eastAsia"/>
        </w:rPr>
        <w:t>约束非</w:t>
      </w:r>
      <w:proofErr w:type="gramEnd"/>
      <w:r>
        <w:rPr>
          <w:rFonts w:hint="eastAsia"/>
        </w:rPr>
        <w:t>预期或异常行为的能力，非预期或异常行为包括非预期闯红灯、未保持安全间距、异常加减速、越界行驶等；在边缘场景测试需要时，应支持按场景配置选择性</w:t>
      </w:r>
      <w:proofErr w:type="gramStart"/>
      <w:r>
        <w:rPr>
          <w:rFonts w:hint="eastAsia"/>
        </w:rPr>
        <w:t>模拟非</w:t>
      </w:r>
      <w:proofErr w:type="gramEnd"/>
      <w:r>
        <w:rPr>
          <w:rFonts w:hint="eastAsia"/>
        </w:rPr>
        <w:t>预期或异常行为，并应记录触发条件和事件结果。</w:t>
      </w:r>
      <w:r>
        <w:br/>
        <w:t xml:space="preserve">b) </w:t>
      </w:r>
      <w:r>
        <w:rPr>
          <w:rFonts w:hint="eastAsia"/>
        </w:rPr>
        <w:t>支持施工占道、临停障碍、逆向行驶、交通事故、临时交通管制、车辆故障、</w:t>
      </w:r>
      <w:r>
        <w:rPr>
          <w:rFonts w:hint="eastAsia"/>
        </w:rPr>
        <w:lastRenderedPageBreak/>
        <w:t>道路封闭等异常交通事件仿真，并应支持设置事件发生时间、持续时间、空间位置、影响范围和处置策略。</w:t>
      </w:r>
    </w:p>
    <w:p w14:paraId="1B2F9E8D" w14:textId="77777777" w:rsidR="009B55B3" w:rsidRPr="008E4034" w:rsidRDefault="00CC309B">
      <w:pPr>
        <w:pStyle w:val="a0"/>
        <w:rPr>
          <w:b/>
          <w:bCs/>
        </w:rPr>
      </w:pPr>
      <w:r w:rsidRPr="008E4034">
        <w:rPr>
          <w:rFonts w:hint="eastAsia"/>
          <w:b/>
          <w:bCs/>
        </w:rPr>
        <w:t>交通数据导入与校准验证支撑功能应符合下列规定：</w:t>
      </w:r>
    </w:p>
    <w:p w14:paraId="0CE23E13" w14:textId="77777777" w:rsidR="009B55B3" w:rsidRDefault="00CC309B">
      <w:pPr>
        <w:pStyle w:val="a0"/>
      </w:pPr>
      <w:r>
        <w:t xml:space="preserve">a) </w:t>
      </w:r>
      <w:r>
        <w:rPr>
          <w:rFonts w:hint="eastAsia"/>
        </w:rPr>
        <w:t>支持导入交通仿真相关数据，包括真实车辆轨迹、路侧感知数据、车载控制器局域网数据、交通流检测数据、信号配时方案、高精地图数据等，并应能将导入数据用于仿真输入、模型校准或结果验证。</w:t>
      </w:r>
      <w:r>
        <w:br/>
        <w:t xml:space="preserve">b) </w:t>
      </w:r>
      <w:r>
        <w:rPr>
          <w:rFonts w:hint="eastAsia"/>
        </w:rPr>
        <w:t>提供模型参数校准接口，支持基于实测数据对模型参数进行校准。</w:t>
      </w:r>
    </w:p>
    <w:p w14:paraId="5E7410E1" w14:textId="77777777" w:rsidR="009B55B3" w:rsidRDefault="00CC309B">
      <w:pPr>
        <w:pStyle w:val="a0"/>
      </w:pPr>
      <w:r w:rsidRPr="008E4034">
        <w:rPr>
          <w:rFonts w:hint="eastAsia"/>
          <w:b/>
          <w:bCs/>
        </w:rPr>
        <w:t>结果输出与过程追溯应符合下列规定</w:t>
      </w:r>
      <w:r>
        <w:rPr>
          <w:rFonts w:hint="eastAsia"/>
        </w:rPr>
        <w:t>：</w:t>
      </w:r>
    </w:p>
    <w:p w14:paraId="25B86780" w14:textId="77777777" w:rsidR="009B55B3" w:rsidRDefault="00CC309B">
      <w:pPr>
        <w:pStyle w:val="a0"/>
      </w:pPr>
      <w:r>
        <w:t xml:space="preserve">a) </w:t>
      </w:r>
      <w:r>
        <w:rPr>
          <w:rFonts w:hint="eastAsia"/>
        </w:rPr>
        <w:t>支持交通效率、交通安全性、能耗、污染物排放和乘坐舒适性等评价指标的输出和导出。</w:t>
      </w:r>
      <w:r>
        <w:br/>
        <w:t xml:space="preserve">b) </w:t>
      </w:r>
      <w:r>
        <w:rPr>
          <w:rFonts w:hint="eastAsia"/>
        </w:rPr>
        <w:t>支持单车级时序数据的输出和导出，数据内容应至少包括车辆编号、时间戳、全局位置坐标、道路纵向位置、道路横向位置、所在车道、速度、加速度、航向角、换道状态、车头时距、车间距等关键运动状态参数。</w:t>
      </w:r>
      <w:r>
        <w:br/>
        <w:t xml:space="preserve">c) </w:t>
      </w:r>
      <w:r>
        <w:rPr>
          <w:rFonts w:hint="eastAsia"/>
        </w:rPr>
        <w:t>支持微观仿真结果的可视化回放，并应支持仿真过程记录和异常日志的输出和导出，以便开展结果复核、问题定位和可信度评估。</w:t>
      </w:r>
    </w:p>
    <w:p w14:paraId="2E675239" w14:textId="77777777" w:rsidR="009B55B3" w:rsidRDefault="00CC309B">
      <w:pPr>
        <w:pStyle w:val="3"/>
      </w:pPr>
      <w:bookmarkStart w:id="19" w:name="感知和通信系统仿真"/>
      <w:bookmarkEnd w:id="18"/>
      <w:r>
        <w:t xml:space="preserve">4.3 </w:t>
      </w:r>
      <w:r>
        <w:rPr>
          <w:rFonts w:hint="eastAsia"/>
        </w:rPr>
        <w:t>感知和通信系统仿真</w:t>
      </w:r>
    </w:p>
    <w:p w14:paraId="4CCA1B70" w14:textId="77777777" w:rsidR="009B55B3" w:rsidRDefault="00CC309B">
      <w:pPr>
        <w:pStyle w:val="3"/>
      </w:pPr>
      <w:bookmarkStart w:id="20" w:name="感知系统仿真"/>
      <w:bookmarkEnd w:id="19"/>
      <w:r>
        <w:t xml:space="preserve">4.3.1 </w:t>
      </w:r>
      <w:r>
        <w:rPr>
          <w:rFonts w:hint="eastAsia"/>
        </w:rPr>
        <w:t>感知系统仿真</w:t>
      </w:r>
    </w:p>
    <w:p w14:paraId="008B8383" w14:textId="77777777" w:rsidR="009B55B3" w:rsidRDefault="00CC309B">
      <w:pPr>
        <w:pStyle w:val="FirstParagraph"/>
      </w:pPr>
      <w:r w:rsidRPr="008E4034">
        <w:rPr>
          <w:rFonts w:hint="eastAsia"/>
          <w:b/>
          <w:bCs/>
        </w:rPr>
        <w:t>摄像头模型：</w:t>
      </w:r>
      <w:r>
        <w:rPr>
          <w:rFonts w:hint="eastAsia"/>
        </w:rPr>
        <w:t>完整模拟光学成像全链路，支持镜头径向</w:t>
      </w:r>
      <w:r>
        <w:rPr>
          <w:rFonts w:hint="eastAsia"/>
        </w:rPr>
        <w:t>/</w:t>
      </w:r>
      <w:r>
        <w:rPr>
          <w:rFonts w:hint="eastAsia"/>
        </w:rPr>
        <w:t>切向畸变、自动曝光、白平衡、动态范围压缩、运动模糊、暗角、高斯噪点、色彩偏差等真实成像特性；适配白昼、黄昏、夜间、逆光、隧道弱光等典型光照工况；可选支持红外成像、热成像仿真模式；可自定义分辨率、帧率、感光度、快门时间、</w:t>
      </w:r>
      <w:proofErr w:type="gramStart"/>
      <w:r>
        <w:rPr>
          <w:rFonts w:hint="eastAsia"/>
        </w:rPr>
        <w:t>色域参数</w:t>
      </w:r>
      <w:proofErr w:type="gramEnd"/>
      <w:r>
        <w:rPr>
          <w:rFonts w:hint="eastAsia"/>
        </w:rPr>
        <w:t>，输出图像时序、像素格式、内参畸变参数与真实车载摄像头一致，可支撑感知算法训练与验证。</w:t>
      </w:r>
    </w:p>
    <w:p w14:paraId="0340FAAE" w14:textId="77777777" w:rsidR="009B55B3" w:rsidRDefault="00CC309B">
      <w:pPr>
        <w:pStyle w:val="a0"/>
      </w:pPr>
      <w:r w:rsidRPr="008E4034">
        <w:rPr>
          <w:rFonts w:hint="eastAsia"/>
          <w:b/>
          <w:bCs/>
        </w:rPr>
        <w:t>激光雷达模型</w:t>
      </w:r>
      <w:r>
        <w:rPr>
          <w:rFonts w:hint="eastAsia"/>
        </w:rPr>
        <w:t>：完整模拟激光发射、大气传输、目标反射、接收</w:t>
      </w:r>
      <w:proofErr w:type="gramStart"/>
      <w:r>
        <w:rPr>
          <w:rFonts w:hint="eastAsia"/>
        </w:rPr>
        <w:t>解调全</w:t>
      </w:r>
      <w:proofErr w:type="gramEnd"/>
      <w:r>
        <w:rPr>
          <w:rFonts w:hint="eastAsia"/>
        </w:rPr>
        <w:t>物理过程；能复现点云几何分布、测距误差、角度误差、反射强度衰减、运动畸变、遮挡盲区、多回波、地面杂波等特性；支持机械式、混合固态、纯固态、高线数、低线数、</w:t>
      </w:r>
      <w:r>
        <w:rPr>
          <w:rFonts w:hint="eastAsia"/>
        </w:rPr>
        <w:t>4D</w:t>
      </w:r>
      <w:r>
        <w:t xml:space="preserve"> </w:t>
      </w:r>
      <w:r>
        <w:rPr>
          <w:rFonts w:hint="eastAsia"/>
        </w:rPr>
        <w:t>激光雷达多型号参数配置；可仿真雨、雾、雪、沙尘、逆光等恶劣天气下点云稀疏、</w:t>
      </w:r>
      <w:proofErr w:type="gramStart"/>
      <w:r>
        <w:rPr>
          <w:rFonts w:hint="eastAsia"/>
        </w:rPr>
        <w:t>噪点激增</w:t>
      </w:r>
      <w:proofErr w:type="gramEnd"/>
      <w:r>
        <w:rPr>
          <w:rFonts w:hint="eastAsia"/>
        </w:rPr>
        <w:t>、测距精度衰减、反射强度异常变化等真实退</w:t>
      </w:r>
      <w:r>
        <w:rPr>
          <w:rFonts w:hint="eastAsia"/>
        </w:rPr>
        <w:lastRenderedPageBreak/>
        <w:t>化效应。</w:t>
      </w:r>
    </w:p>
    <w:p w14:paraId="6EDDA0A1" w14:textId="77777777" w:rsidR="009B55B3" w:rsidRDefault="00CC309B">
      <w:pPr>
        <w:pStyle w:val="a0"/>
      </w:pPr>
      <w:r w:rsidRPr="008E4034">
        <w:rPr>
          <w:rFonts w:hint="eastAsia"/>
          <w:b/>
          <w:bCs/>
        </w:rPr>
        <w:t>毫米波雷达模型：</w:t>
      </w:r>
      <w:r>
        <w:rPr>
          <w:rFonts w:hint="eastAsia"/>
        </w:rPr>
        <w:t>模拟毫米波电磁波传播、反射、多径散射、杂波干扰与多普勒效应；支持静态障碍物、机动车、非机动车、行人等目标检测仿真；可输出目标列表与</w:t>
      </w:r>
      <w:proofErr w:type="gramStart"/>
      <w:r>
        <w:rPr>
          <w:rFonts w:hint="eastAsia"/>
        </w:rPr>
        <w:t>原始点</w:t>
      </w:r>
      <w:proofErr w:type="gramEnd"/>
      <w:r>
        <w:rPr>
          <w:rFonts w:hint="eastAsia"/>
        </w:rPr>
        <w:t>云两类数据格式；兼容传统长距</w:t>
      </w:r>
      <w:r>
        <w:rPr>
          <w:rFonts w:hint="eastAsia"/>
        </w:rPr>
        <w:t>/</w:t>
      </w:r>
      <w:r>
        <w:rPr>
          <w:rFonts w:hint="eastAsia"/>
        </w:rPr>
        <w:t>中距雷达及</w:t>
      </w:r>
      <w:r>
        <w:t xml:space="preserve"> 4D </w:t>
      </w:r>
      <w:r>
        <w:rPr>
          <w:rFonts w:hint="eastAsia"/>
        </w:rPr>
        <w:t>毫米波雷达测高、方位分辨、高密度点云输出能力；可配置信噪比、漏检率、虚警率、多径反射、路边静态杂波、车体遮挡干扰等非理想工作特性。</w:t>
      </w:r>
    </w:p>
    <w:p w14:paraId="47682766" w14:textId="77777777" w:rsidR="009B55B3" w:rsidRDefault="00CC309B">
      <w:pPr>
        <w:pStyle w:val="a0"/>
      </w:pPr>
      <w:r w:rsidRPr="008E4034">
        <w:rPr>
          <w:rFonts w:hint="eastAsia"/>
          <w:b/>
          <w:bCs/>
        </w:rPr>
        <w:t>全球导航卫星系统模型：</w:t>
      </w:r>
      <w:r>
        <w:rPr>
          <w:rFonts w:hint="eastAsia"/>
        </w:rPr>
        <w:t>支持北斗、</w:t>
      </w:r>
      <w:r>
        <w:rPr>
          <w:rFonts w:hint="eastAsia"/>
        </w:rPr>
        <w:t>GPS</w:t>
      </w:r>
      <w:r>
        <w:rPr>
          <w:rFonts w:hint="eastAsia"/>
        </w:rPr>
        <w:t>、</w:t>
      </w:r>
      <w:r>
        <w:rPr>
          <w:rFonts w:hint="eastAsia"/>
        </w:rPr>
        <w:t>GLONASS</w:t>
      </w:r>
      <w:r>
        <w:rPr>
          <w:rFonts w:hint="eastAsia"/>
        </w:rPr>
        <w:t>、</w:t>
      </w:r>
      <w:r>
        <w:rPr>
          <w:rFonts w:hint="eastAsia"/>
        </w:rPr>
        <w:t>Galileo</w:t>
      </w:r>
      <w:r>
        <w:t xml:space="preserve"> </w:t>
      </w:r>
      <w:r>
        <w:rPr>
          <w:rFonts w:hint="eastAsia"/>
        </w:rPr>
        <w:t>多系统多频联合信号仿真；可独立配置星历误差、原子钟差、电离层延迟、对流层延迟、多路径效应、建筑物遮挡、</w:t>
      </w:r>
      <w:proofErr w:type="gramStart"/>
      <w:r>
        <w:rPr>
          <w:rFonts w:hint="eastAsia"/>
        </w:rPr>
        <w:t>隧道信号失联等</w:t>
      </w:r>
      <w:proofErr w:type="gramEnd"/>
      <w:r>
        <w:rPr>
          <w:rFonts w:hint="eastAsia"/>
        </w:rPr>
        <w:t>各类误差源；适配开阔空域、城市峡谷、林荫道路、高架下穿、隧道等典型行驶场景；可输出卫星原始观测值、标准</w:t>
      </w:r>
      <w:r>
        <w:t xml:space="preserve"> NMEA </w:t>
      </w:r>
      <w:r>
        <w:rPr>
          <w:rFonts w:hint="eastAsia"/>
        </w:rPr>
        <w:t>定位报文、载波相位数据，满足定位解算、组合导航、多传感器融合算法闭环测试需求。</w:t>
      </w:r>
    </w:p>
    <w:p w14:paraId="01BC5CBC" w14:textId="77777777" w:rsidR="009B55B3" w:rsidRDefault="00CC309B">
      <w:pPr>
        <w:pStyle w:val="3"/>
      </w:pPr>
      <w:bookmarkStart w:id="21" w:name="通信系统仿真"/>
      <w:bookmarkEnd w:id="20"/>
      <w:r>
        <w:t xml:space="preserve">4.3.2 </w:t>
      </w:r>
      <w:r>
        <w:rPr>
          <w:rFonts w:hint="eastAsia"/>
        </w:rPr>
        <w:t>通信系统仿真</w:t>
      </w:r>
    </w:p>
    <w:p w14:paraId="323E4242" w14:textId="77777777" w:rsidR="009B55B3" w:rsidRDefault="00CC309B">
      <w:pPr>
        <w:pStyle w:val="FirstParagraph"/>
      </w:pPr>
      <w:r w:rsidRPr="008E4034">
        <w:rPr>
          <w:b/>
          <w:bCs/>
        </w:rPr>
        <w:t xml:space="preserve">V2X </w:t>
      </w:r>
      <w:r w:rsidRPr="008E4034">
        <w:rPr>
          <w:rFonts w:hint="eastAsia"/>
          <w:b/>
          <w:bCs/>
        </w:rPr>
        <w:t>模型</w:t>
      </w:r>
      <w:r>
        <w:rPr>
          <w:rFonts w:hint="eastAsia"/>
        </w:rPr>
        <w:t>：全面支持车车通信（</w:t>
      </w:r>
      <w:r>
        <w:rPr>
          <w:rFonts w:hint="eastAsia"/>
        </w:rPr>
        <w:t>V2V</w:t>
      </w:r>
      <w:r>
        <w:rPr>
          <w:rFonts w:hint="eastAsia"/>
        </w:rPr>
        <w:t>）、车路通信（</w:t>
      </w:r>
      <w:r>
        <w:rPr>
          <w:rFonts w:hint="eastAsia"/>
        </w:rPr>
        <w:t>V2I</w:t>
      </w:r>
      <w:r>
        <w:rPr>
          <w:rFonts w:hint="eastAsia"/>
        </w:rPr>
        <w:t>）、车人通信（</w:t>
      </w:r>
      <w:r>
        <w:rPr>
          <w:rFonts w:hint="eastAsia"/>
        </w:rPr>
        <w:t>V2P</w:t>
      </w:r>
      <w:r>
        <w:rPr>
          <w:rFonts w:hint="eastAsia"/>
        </w:rPr>
        <w:t>）</w:t>
      </w:r>
      <w:proofErr w:type="gramStart"/>
      <w:r>
        <w:rPr>
          <w:rFonts w:hint="eastAsia"/>
        </w:rPr>
        <w:t>和车网通信</w:t>
      </w:r>
      <w:proofErr w:type="gramEnd"/>
      <w:r>
        <w:rPr>
          <w:rFonts w:hint="eastAsia"/>
        </w:rPr>
        <w:t>（</w:t>
      </w:r>
      <w:r>
        <w:rPr>
          <w:rFonts w:hint="eastAsia"/>
        </w:rPr>
        <w:t>V2N</w:t>
      </w:r>
      <w:r>
        <w:rPr>
          <w:rFonts w:hint="eastAsia"/>
        </w:rPr>
        <w:t>）等业务通信仿真；可自定义城市、高速、园区等多场景信道衰落、建筑物遮挡、车辆拓扑动态变化模型；模拟端到端通信延迟、随机丢包、突发拥塞、数据包冲突、报文乱序、通信中断与越区切换等非理想传输特性；能够配置软件声称支持的车联网通信协议及其通信机制。</w:t>
      </w:r>
    </w:p>
    <w:p w14:paraId="1980AD08" w14:textId="77777777" w:rsidR="009B55B3" w:rsidRDefault="00CC309B">
      <w:pPr>
        <w:pStyle w:val="a0"/>
      </w:pPr>
      <w:r w:rsidRPr="008E4034">
        <w:rPr>
          <w:b/>
          <w:bCs/>
        </w:rPr>
        <w:t xml:space="preserve">V2V </w:t>
      </w:r>
      <w:r w:rsidRPr="008E4034">
        <w:rPr>
          <w:rFonts w:hint="eastAsia"/>
          <w:b/>
          <w:bCs/>
        </w:rPr>
        <w:t>模型</w:t>
      </w:r>
      <w:r>
        <w:rPr>
          <w:rFonts w:hint="eastAsia"/>
        </w:rPr>
        <w:t>：支持直连通信广播、单播、组播模式；仿真相向会车、跟车行驶、匝道合流、交叉路口交汇等拓扑下通信质量动态变化；可配置通信距离衰减、车体遮挡损耗、高速移动多普勒频偏、邻车干扰等特性，还原真实车车信息交互过程。</w:t>
      </w:r>
    </w:p>
    <w:p w14:paraId="787AC838" w14:textId="77777777" w:rsidR="009B55B3" w:rsidRDefault="00CC309B">
      <w:pPr>
        <w:pStyle w:val="a0"/>
      </w:pPr>
      <w:r w:rsidRPr="008E4034">
        <w:rPr>
          <w:b/>
          <w:bCs/>
        </w:rPr>
        <w:t xml:space="preserve">V2I </w:t>
      </w:r>
      <w:r w:rsidRPr="008E4034">
        <w:rPr>
          <w:rFonts w:hint="eastAsia"/>
          <w:b/>
          <w:bCs/>
        </w:rPr>
        <w:t>模型</w:t>
      </w:r>
      <w:r>
        <w:rPr>
          <w:rFonts w:hint="eastAsia"/>
        </w:rPr>
        <w:t>：支持路侧单元（</w:t>
      </w:r>
      <w:r>
        <w:rPr>
          <w:rFonts w:hint="eastAsia"/>
        </w:rPr>
        <w:t>RSU</w:t>
      </w:r>
      <w:r>
        <w:rPr>
          <w:rFonts w:hint="eastAsia"/>
        </w:rPr>
        <w:t>）与车载单元（</w:t>
      </w:r>
      <w:r>
        <w:rPr>
          <w:rFonts w:hint="eastAsia"/>
        </w:rPr>
        <w:t>OBU</w:t>
      </w:r>
      <w:r>
        <w:rPr>
          <w:rFonts w:hint="eastAsia"/>
        </w:rPr>
        <w:t>）双向数据交互；可仿真交通信号灯态、道路拥堵预警、交通事故播报、高精地图增量更新、临时交通管制等业务数据传输；支持路侧多终端并发接入、时隙调度、带宽受限、边缘</w:t>
      </w:r>
      <w:proofErr w:type="gramStart"/>
      <w:r>
        <w:rPr>
          <w:rFonts w:hint="eastAsia"/>
        </w:rPr>
        <w:t>侧数据</w:t>
      </w:r>
      <w:proofErr w:type="gramEnd"/>
      <w:r>
        <w:rPr>
          <w:rFonts w:hint="eastAsia"/>
        </w:rPr>
        <w:t>转发等网络运行特征。</w:t>
      </w:r>
    </w:p>
    <w:p w14:paraId="19601504" w14:textId="77777777" w:rsidR="009B55B3" w:rsidRDefault="00CC309B">
      <w:pPr>
        <w:pStyle w:val="a0"/>
      </w:pPr>
      <w:r w:rsidRPr="008E4034">
        <w:rPr>
          <w:rFonts w:hint="eastAsia"/>
          <w:b/>
          <w:bCs/>
        </w:rPr>
        <w:t>信息丢失仿真模型</w:t>
      </w:r>
      <w:r>
        <w:rPr>
          <w:rFonts w:hint="eastAsia"/>
        </w:rPr>
        <w:t>：支持周期性随机丢包、连续突发丢包、时延抖动、报文重复、报文错序、短时通信中断等异常行为参数化配置；可按时间阈值、空间距</w:t>
      </w:r>
      <w:r>
        <w:rPr>
          <w:rFonts w:hint="eastAsia"/>
        </w:rPr>
        <w:lastRenderedPageBreak/>
        <w:t>离、遮挡状态、车流密度条件触发通信异常与自动恢复，复现真实路网中通信不稳定边界场景。</w:t>
      </w:r>
    </w:p>
    <w:p w14:paraId="1612F9EC" w14:textId="77777777" w:rsidR="009B55B3" w:rsidRDefault="00CC309B">
      <w:pPr>
        <w:pStyle w:val="3"/>
      </w:pPr>
      <w:bookmarkStart w:id="22" w:name="交通场景仿真"/>
      <w:bookmarkEnd w:id="21"/>
      <w:r>
        <w:t xml:space="preserve">4.4 </w:t>
      </w:r>
      <w:r>
        <w:rPr>
          <w:rFonts w:hint="eastAsia"/>
        </w:rPr>
        <w:t>交通场景仿真</w:t>
      </w:r>
    </w:p>
    <w:p w14:paraId="710A8070" w14:textId="77777777" w:rsidR="009B55B3" w:rsidRDefault="00CC309B">
      <w:pPr>
        <w:pStyle w:val="3"/>
      </w:pPr>
      <w:bookmarkStart w:id="23" w:name="交通场景仿真功能范围"/>
      <w:bookmarkEnd w:id="22"/>
      <w:r>
        <w:t xml:space="preserve">4.4.1 </w:t>
      </w:r>
      <w:r>
        <w:rPr>
          <w:rFonts w:hint="eastAsia"/>
        </w:rPr>
        <w:t>交通场景仿真功能范围</w:t>
      </w:r>
    </w:p>
    <w:p w14:paraId="3AEE413F" w14:textId="77777777" w:rsidR="009B55B3" w:rsidRDefault="00CC309B">
      <w:pPr>
        <w:pStyle w:val="FirstParagraph"/>
      </w:pPr>
      <w:r>
        <w:rPr>
          <w:rFonts w:hint="eastAsia"/>
        </w:rPr>
        <w:t>交通场景仿真应能够支撑自动驾驶功能在其设计运行条件内的感知、预测、决策、规划与控制测试。场景模型应覆盖道路静态要素、交通参与者动态要素、环境要素和突发事件要素，并具备参数化配置、组合生成、传感器联动、车辆动力学联动、重复执行和结果追溯能力。场景中道路交通标志、交通标线、交通锥、交通信号灯等应符合相应国家标准要求。</w:t>
      </w:r>
    </w:p>
    <w:p w14:paraId="6149F1C4" w14:textId="77777777" w:rsidR="009B55B3" w:rsidRDefault="00CC309B">
      <w:pPr>
        <w:pStyle w:val="3"/>
      </w:pPr>
      <w:bookmarkStart w:id="24" w:name="场景静态要素指标要求"/>
      <w:bookmarkEnd w:id="23"/>
      <w:r>
        <w:t xml:space="preserve">4.4.2 </w:t>
      </w:r>
      <w:r>
        <w:rPr>
          <w:rFonts w:hint="eastAsia"/>
        </w:rPr>
        <w:t>场景静态要素指标要求</w:t>
      </w:r>
    </w:p>
    <w:p w14:paraId="6CCCCAE9" w14:textId="77777777" w:rsidR="009B55B3" w:rsidRDefault="00CC309B">
      <w:pPr>
        <w:pStyle w:val="FirstParagraph"/>
      </w:pPr>
      <w:r>
        <w:rPr>
          <w:rFonts w:hint="eastAsia"/>
        </w:rPr>
        <w:t>静态场景要素应以车道级路网拓扑为基础，保证道路几何、交通规则、交通设施、交通标志标线和交通信号之间的一致性，并应能够被自动驾驶系统感知、定位、规划和控制模块正确调用。场景静态要素应覆盖道路空间、道路几何、交通规则设施、视觉渲染一致性以及参数化与可复用能力。软件应保证道路类型、车道级路网拓扑、车道连接关系、交通标志标线、交通信号和道路基础设施之间的逻辑一致，并支持关键静态要素参数配置和场景初始条件设置。</w:t>
      </w:r>
    </w:p>
    <w:p w14:paraId="07913D44" w14:textId="77777777" w:rsidR="009B55B3" w:rsidRDefault="00CC309B">
      <w:pPr>
        <w:pStyle w:val="3"/>
      </w:pPr>
      <w:bookmarkStart w:id="25" w:name="场景动态要素指标要求"/>
      <w:bookmarkEnd w:id="24"/>
      <w:r>
        <w:t xml:space="preserve">4.4.3 </w:t>
      </w:r>
      <w:r>
        <w:rPr>
          <w:rFonts w:hint="eastAsia"/>
        </w:rPr>
        <w:t>场景动态要素指标要求</w:t>
      </w:r>
    </w:p>
    <w:p w14:paraId="69E80D7A" w14:textId="77777777" w:rsidR="009B55B3" w:rsidRDefault="00CC309B">
      <w:pPr>
        <w:pStyle w:val="FirstParagraph"/>
      </w:pPr>
      <w:r>
        <w:rPr>
          <w:rFonts w:hint="eastAsia"/>
        </w:rPr>
        <w:t>场景动态要素覆盖车辆、弱势交通参与者、特殊目标以及多主体交互行为。软件支持目标物属性、运动状态、行为模型、遮挡关系、行为触发条件和随机种子等参数配置，并保证动态目标运动过程连续、可执行、可复现。场景动态要素包括常规场景动态要素与非常规场景动态要素。</w:t>
      </w:r>
    </w:p>
    <w:p w14:paraId="0659EEDF" w14:textId="77777777" w:rsidR="009B55B3" w:rsidRDefault="00CC309B">
      <w:pPr>
        <w:pStyle w:val="a0"/>
      </w:pPr>
      <w:r>
        <w:rPr>
          <w:rFonts w:hint="eastAsia"/>
        </w:rPr>
        <w:t>常规场景动态要素覆盖交通参与者按照道路交通规则、道路通行条件及一般交通行为规律运行过程中形成的典型动态交互场景，包括行人通过人行横道、行人沿道路行走、自行车同车道骑行、摩托车同车道行驶、前方车辆切入、前方大型车辆切入、静止车辆起步切入、目标车辆停一走、行人横穿道路、被遮挡</w:t>
      </w:r>
      <w:r>
        <w:rPr>
          <w:rFonts w:hint="eastAsia"/>
        </w:rPr>
        <w:lastRenderedPageBreak/>
        <w:t>行人横穿道路、自行车横穿道路、前方车辆紧急制动等。</w:t>
      </w:r>
    </w:p>
    <w:p w14:paraId="432D838E" w14:textId="77777777" w:rsidR="009B55B3" w:rsidRDefault="00CC309B">
      <w:pPr>
        <w:pStyle w:val="a0"/>
      </w:pPr>
      <w:r>
        <w:rPr>
          <w:rFonts w:hint="eastAsia"/>
        </w:rPr>
        <w:t>非常规场景动态要素覆盖违反道路交通规则、偏离常规交通行为或具有异常运动特征的动态交互场景，包括车辆逆向行驶、车辆违规变道、车辆占用非机动车道或应急车道行驶、非机动车逆向行驶、行人违规进入机动车道等。软件应支持对非常规目标的运动轨迹、行为触发条件及其与其他交通参与者的交互关系进行参数化配置，以满足非常规交通行为及风险场景的构建需求。</w:t>
      </w:r>
    </w:p>
    <w:p w14:paraId="441CAE4F" w14:textId="77777777" w:rsidR="009B55B3" w:rsidRDefault="00CC309B">
      <w:pPr>
        <w:pStyle w:val="3"/>
      </w:pPr>
      <w:bookmarkStart w:id="26" w:name="环境要素模型指标要求"/>
      <w:bookmarkEnd w:id="25"/>
      <w:r>
        <w:t xml:space="preserve">4.4.4 </w:t>
      </w:r>
      <w:r>
        <w:rPr>
          <w:rFonts w:hint="eastAsia"/>
        </w:rPr>
        <w:t>环境要素模型指标要求</w:t>
      </w:r>
    </w:p>
    <w:p w14:paraId="1B57F0BB" w14:textId="77777777" w:rsidR="009B55B3" w:rsidRDefault="00CC309B">
      <w:pPr>
        <w:pStyle w:val="FirstParagraph"/>
      </w:pPr>
      <w:r>
        <w:rPr>
          <w:rFonts w:hint="eastAsia"/>
        </w:rPr>
        <w:t>环境要素模型不应仅改变视觉效果，还应体现环境变化对感知、定位、车辆动力学和交通参与者行为的影响。环境参数应可配置、可记录、可复现，并应与传感器模型和车辆动力学模型形成一致联动。</w:t>
      </w:r>
    </w:p>
    <w:p w14:paraId="17BAFC38" w14:textId="77777777" w:rsidR="009B55B3" w:rsidRDefault="00CC309B">
      <w:pPr>
        <w:pStyle w:val="a0"/>
      </w:pPr>
      <w:r>
        <w:rPr>
          <w:rFonts w:hint="eastAsia"/>
        </w:rPr>
        <w:t>环境要素模型应覆盖气象、光照、路面状态以及环境对传感器和车辆动力学的影响。软件应支持环境参数记录、环境变化连续性、多传感器一致性和模型可信度确认，使环境变化能够与感知、定位、车辆动力学和交通参与者行为形成一致联动。</w:t>
      </w:r>
    </w:p>
    <w:p w14:paraId="7B6AB25A" w14:textId="77777777" w:rsidR="009B55B3" w:rsidRDefault="00CC309B">
      <w:pPr>
        <w:pStyle w:val="3"/>
      </w:pPr>
      <w:bookmarkStart w:id="27" w:name="场景突发事件要素模型指标要求"/>
      <w:bookmarkEnd w:id="26"/>
      <w:r>
        <w:t xml:space="preserve">4.4.5 </w:t>
      </w:r>
      <w:r>
        <w:rPr>
          <w:rFonts w:hint="eastAsia"/>
        </w:rPr>
        <w:t>场景突发事件要素模型指标要求</w:t>
      </w:r>
    </w:p>
    <w:p w14:paraId="474927DF" w14:textId="77777777" w:rsidR="009B55B3" w:rsidRDefault="00CC309B">
      <w:pPr>
        <w:pStyle w:val="FirstParagraph"/>
      </w:pPr>
      <w:r>
        <w:rPr>
          <w:rFonts w:hint="eastAsia"/>
        </w:rPr>
        <w:t>场景突发事件要素模型应能够描述事件发生、发展、影响和解除过程，支持事件与道路环境、交通流、交通参与者、传感器模型和车辆动力学模型之间的联动，并保证事件过程可配置、可执行、可复现和可追溯。</w:t>
      </w:r>
    </w:p>
    <w:p w14:paraId="5C8B758B" w14:textId="77777777" w:rsidR="009B55B3" w:rsidRDefault="00CC309B">
      <w:pPr>
        <w:pStyle w:val="a0"/>
      </w:pPr>
      <w:r>
        <w:rPr>
          <w:rFonts w:hint="eastAsia"/>
        </w:rPr>
        <w:t>场景突发事件要素模型应覆盖交通运行事件、交通事故事件、交通管制事件和特殊环境事件。软件应支持按时间、空间、状态或组合条件触发事件，描述事件发生、发展、影响和解除过程，并记录事件触发条件、状态变化、受影响目标、主车响应和最终结果。</w:t>
      </w:r>
    </w:p>
    <w:p w14:paraId="6D294609" w14:textId="77777777" w:rsidR="009B55B3" w:rsidRDefault="00CC309B">
      <w:pPr>
        <w:pStyle w:val="3"/>
      </w:pPr>
      <w:bookmarkStart w:id="28" w:name="仿真测试软件的鲁棒性"/>
      <w:bookmarkEnd w:id="27"/>
      <w:r>
        <w:t xml:space="preserve">4.5 </w:t>
      </w:r>
      <w:r>
        <w:rPr>
          <w:rFonts w:hint="eastAsia"/>
        </w:rPr>
        <w:t>仿真测试软件的鲁棒性</w:t>
      </w:r>
    </w:p>
    <w:p w14:paraId="6370C0BA" w14:textId="77777777" w:rsidR="009B55B3" w:rsidRDefault="00CC309B">
      <w:pPr>
        <w:pStyle w:val="3"/>
      </w:pPr>
      <w:bookmarkStart w:id="29" w:name="运行稳定性"/>
      <w:bookmarkEnd w:id="28"/>
      <w:r>
        <w:t xml:space="preserve">4.5.1 </w:t>
      </w:r>
      <w:r>
        <w:rPr>
          <w:rFonts w:hint="eastAsia"/>
        </w:rPr>
        <w:t>运行稳定性</w:t>
      </w:r>
    </w:p>
    <w:p w14:paraId="779E8A57" w14:textId="77777777" w:rsidR="009B55B3" w:rsidRDefault="00CC309B">
      <w:pPr>
        <w:pStyle w:val="FirstParagraph"/>
      </w:pPr>
      <w:r>
        <w:rPr>
          <w:rFonts w:hint="eastAsia"/>
        </w:rPr>
        <w:t>仿真测试软件应具备在连续运行、复杂计算负载和异常运行条件下保持稳定运</w:t>
      </w:r>
      <w:r>
        <w:rPr>
          <w:rFonts w:hint="eastAsia"/>
        </w:rPr>
        <w:lastRenderedPageBreak/>
        <w:t>行的能力。</w:t>
      </w:r>
    </w:p>
    <w:p w14:paraId="182E2597" w14:textId="77777777" w:rsidR="009B55B3" w:rsidRDefault="00CC309B">
      <w:pPr>
        <w:pStyle w:val="a0"/>
      </w:pPr>
      <w:r>
        <w:t xml:space="preserve">a) </w:t>
      </w:r>
      <w:r>
        <w:rPr>
          <w:rFonts w:hint="eastAsia"/>
        </w:rPr>
        <w:t>应支持长时间连续运行，运行过程中不应出现非预期退出、死锁、资源泄漏或明显性能退化。</w:t>
      </w:r>
      <w:r>
        <w:br/>
        <w:t xml:space="preserve">b) </w:t>
      </w:r>
      <w:r>
        <w:rPr>
          <w:rFonts w:hint="eastAsia"/>
        </w:rPr>
        <w:t>应支持大规模交通参与者、多传感器数据流及复杂交通场景的并发仿真运行。</w:t>
      </w:r>
      <w:r>
        <w:br/>
        <w:t xml:space="preserve">c) </w:t>
      </w:r>
      <w:r>
        <w:rPr>
          <w:rFonts w:hint="eastAsia"/>
        </w:rPr>
        <w:t>应具备计算资源监测能力，能够监测</w:t>
      </w:r>
      <w:r>
        <w:t xml:space="preserve"> </w:t>
      </w:r>
      <w:r>
        <w:rPr>
          <w:rFonts w:hint="eastAsia"/>
        </w:rPr>
        <w:t>CPU</w:t>
      </w:r>
      <w:r>
        <w:rPr>
          <w:rFonts w:hint="eastAsia"/>
        </w:rPr>
        <w:t>、</w:t>
      </w:r>
      <w:r>
        <w:rPr>
          <w:rFonts w:hint="eastAsia"/>
        </w:rPr>
        <w:t>GPU</w:t>
      </w:r>
      <w:r>
        <w:rPr>
          <w:rFonts w:hint="eastAsia"/>
        </w:rPr>
        <w:t>、内存、存储及网络资源状态，并支持异常资源占用告警。</w:t>
      </w:r>
      <w:r>
        <w:br/>
        <w:t xml:space="preserve">d) </w:t>
      </w:r>
      <w:r>
        <w:rPr>
          <w:rFonts w:hint="eastAsia"/>
        </w:rPr>
        <w:t>应保证仿真任务执行过程中的数据完整性，仿真中断或异常退出后应支持状态保存、任务恢复或结果恢复。</w:t>
      </w:r>
    </w:p>
    <w:p w14:paraId="3D64E09B" w14:textId="77777777" w:rsidR="009B55B3" w:rsidRDefault="00CC309B">
      <w:pPr>
        <w:pStyle w:val="3"/>
      </w:pPr>
      <w:bookmarkStart w:id="30" w:name="输入参数适应性"/>
      <w:bookmarkEnd w:id="29"/>
      <w:r>
        <w:t xml:space="preserve">4.5.2 </w:t>
      </w:r>
      <w:r>
        <w:rPr>
          <w:rFonts w:hint="eastAsia"/>
        </w:rPr>
        <w:t>输入参数适应性</w:t>
      </w:r>
    </w:p>
    <w:p w14:paraId="62097079" w14:textId="77777777" w:rsidR="009B55B3" w:rsidRDefault="00CC309B">
      <w:pPr>
        <w:pStyle w:val="FirstParagraph"/>
      </w:pPr>
      <w:r>
        <w:rPr>
          <w:rFonts w:hint="eastAsia"/>
        </w:rPr>
        <w:t>仿真测试软件应具备对输入参数变化和边界条件变化的适应能力。</w:t>
      </w:r>
    </w:p>
    <w:p w14:paraId="1F2CCDD1" w14:textId="77777777" w:rsidR="009B55B3" w:rsidRDefault="00CC309B">
      <w:pPr>
        <w:pStyle w:val="a0"/>
      </w:pPr>
      <w:r>
        <w:t xml:space="preserve">a) </w:t>
      </w:r>
      <w:r>
        <w:rPr>
          <w:rFonts w:hint="eastAsia"/>
        </w:rPr>
        <w:t>应支持交通流参数、车辆参数、传感器参数、通信参数及环境参数在合理范围内动态调整。</w:t>
      </w:r>
      <w:r>
        <w:br/>
        <w:t xml:space="preserve">b) </w:t>
      </w:r>
      <w:r>
        <w:rPr>
          <w:rFonts w:hint="eastAsia"/>
        </w:rPr>
        <w:t>对超出模型适用范围或不合理输入参数，应具备参数校验、异常提示或约束处理机制。</w:t>
      </w:r>
      <w:r>
        <w:br/>
        <w:t xml:space="preserve">c) </w:t>
      </w:r>
      <w:r>
        <w:rPr>
          <w:rFonts w:hint="eastAsia"/>
        </w:rPr>
        <w:t>应支持随机参数扰动、参数扫描和敏感性分析，验证模型输出对关键参数变化的响应规律。</w:t>
      </w:r>
      <w:r>
        <w:br/>
        <w:t xml:space="preserve">d) </w:t>
      </w:r>
      <w:r>
        <w:rPr>
          <w:rFonts w:hint="eastAsia"/>
        </w:rPr>
        <w:t>在输入参数发生小范围变化时，仿真结果应保持合理连续性，不应出现非物理突变。</w:t>
      </w:r>
    </w:p>
    <w:p w14:paraId="14E08812" w14:textId="77777777" w:rsidR="009B55B3" w:rsidRDefault="00CC309B">
      <w:pPr>
        <w:pStyle w:val="3"/>
      </w:pPr>
      <w:bookmarkStart w:id="31" w:name="异常场景运行能力"/>
      <w:bookmarkEnd w:id="30"/>
      <w:r>
        <w:t xml:space="preserve">4.5.3 </w:t>
      </w:r>
      <w:r>
        <w:rPr>
          <w:rFonts w:hint="eastAsia"/>
        </w:rPr>
        <w:t>异常场景运行能力</w:t>
      </w:r>
    </w:p>
    <w:p w14:paraId="04D0D669" w14:textId="77777777" w:rsidR="009B55B3" w:rsidRDefault="00CC309B">
      <w:pPr>
        <w:pStyle w:val="FirstParagraph"/>
      </w:pPr>
      <w:r>
        <w:rPr>
          <w:rFonts w:hint="eastAsia"/>
        </w:rPr>
        <w:t>仿真测试软件应支持复杂和异常测试条件下的稳定运行。</w:t>
      </w:r>
    </w:p>
    <w:p w14:paraId="5ABE32A4" w14:textId="77777777" w:rsidR="009B55B3" w:rsidRDefault="00CC309B">
      <w:pPr>
        <w:pStyle w:val="a0"/>
      </w:pPr>
      <w:r>
        <w:t xml:space="preserve">a) </w:t>
      </w:r>
      <w:r>
        <w:rPr>
          <w:rFonts w:hint="eastAsia"/>
        </w:rPr>
        <w:t>应支持恶劣天气、道路异常、交通事故、通信异常及传感器退化等复杂场景运行。</w:t>
      </w:r>
      <w:r>
        <w:br/>
        <w:t xml:space="preserve">b) </w:t>
      </w:r>
      <w:r>
        <w:rPr>
          <w:rFonts w:hint="eastAsia"/>
        </w:rPr>
        <w:t>应支持异常交通行为、异常通信状态和传感器故障等边界条件模拟，并保证仿真过程可控、可记录。</w:t>
      </w:r>
      <w:r>
        <w:br/>
        <w:t xml:space="preserve">c) </w:t>
      </w:r>
      <w:r>
        <w:rPr>
          <w:rFonts w:hint="eastAsia"/>
        </w:rPr>
        <w:t>在异常事件触发、恢复及多事件同时发生情况下，系统应保持正常运行并输出完整测试结果。</w:t>
      </w:r>
      <w:r>
        <w:br/>
        <w:t xml:space="preserve">d) </w:t>
      </w:r>
      <w:r>
        <w:rPr>
          <w:rFonts w:hint="eastAsia"/>
        </w:rPr>
        <w:t>应支持故障注入测试，包括传感器故障、通信中断、数据丢失、模型异常等，</w:t>
      </w:r>
      <w:r>
        <w:rPr>
          <w:rFonts w:hint="eastAsia"/>
        </w:rPr>
        <w:lastRenderedPageBreak/>
        <w:t>并记录故障发生过程及系统响应。</w:t>
      </w:r>
    </w:p>
    <w:p w14:paraId="4DA995C5" w14:textId="77777777" w:rsidR="009B55B3" w:rsidRDefault="00CC309B">
      <w:pPr>
        <w:pStyle w:val="3"/>
      </w:pPr>
      <w:bookmarkStart w:id="32" w:name="仿真结果一致性与可重复性"/>
      <w:bookmarkEnd w:id="31"/>
      <w:r>
        <w:t xml:space="preserve">4.5.4 </w:t>
      </w:r>
      <w:r>
        <w:rPr>
          <w:rFonts w:hint="eastAsia"/>
        </w:rPr>
        <w:t>仿真结果一致性与可重复性</w:t>
      </w:r>
    </w:p>
    <w:p w14:paraId="7DE37862" w14:textId="77777777" w:rsidR="009B55B3" w:rsidRDefault="00CC309B">
      <w:pPr>
        <w:pStyle w:val="FirstParagraph"/>
      </w:pPr>
      <w:r>
        <w:rPr>
          <w:rFonts w:hint="eastAsia"/>
        </w:rPr>
        <w:t>仿真测试软件应保证相同条件下测试结果具有一致性和可复现能力。</w:t>
      </w:r>
    </w:p>
    <w:p w14:paraId="1A8E554B" w14:textId="77777777" w:rsidR="009B55B3" w:rsidRDefault="00CC309B">
      <w:pPr>
        <w:pStyle w:val="a0"/>
      </w:pPr>
      <w:r>
        <w:t xml:space="preserve">a) </w:t>
      </w:r>
      <w:r>
        <w:rPr>
          <w:rFonts w:hint="eastAsia"/>
        </w:rPr>
        <w:t>应支持随机数种子设置，保证同一测试条件下仿真结果可重复。</w:t>
      </w:r>
      <w:r>
        <w:br/>
        <w:t xml:space="preserve">b) </w:t>
      </w:r>
      <w:r>
        <w:rPr>
          <w:rFonts w:hint="eastAsia"/>
        </w:rPr>
        <w:t>应支持仿真过程记录，包括输入参数、模型版本、运行环境、时间信息及关键状态数据。</w:t>
      </w:r>
      <w:r>
        <w:br/>
        <w:t xml:space="preserve">c) </w:t>
      </w:r>
      <w:r>
        <w:rPr>
          <w:rFonts w:hint="eastAsia"/>
        </w:rPr>
        <w:t>对同一场景多次运行结果，应能够开展统计分析，并满足可信度评价要求。</w:t>
      </w:r>
    </w:p>
    <w:p w14:paraId="616AE44D" w14:textId="77777777" w:rsidR="009B55B3" w:rsidRDefault="00CC309B">
      <w:pPr>
        <w:pStyle w:val="3"/>
      </w:pPr>
      <w:bookmarkStart w:id="33" w:name="仿真测试软件的通用性"/>
      <w:bookmarkEnd w:id="32"/>
      <w:r>
        <w:t xml:space="preserve">4.6 </w:t>
      </w:r>
      <w:r>
        <w:rPr>
          <w:rFonts w:hint="eastAsia"/>
        </w:rPr>
        <w:t>仿真测试软件的通用性</w:t>
      </w:r>
    </w:p>
    <w:p w14:paraId="5CC557CE" w14:textId="77777777" w:rsidR="009B55B3" w:rsidRDefault="00CC309B">
      <w:pPr>
        <w:pStyle w:val="3"/>
      </w:pPr>
      <w:bookmarkStart w:id="34" w:name="适用纯虚拟仿真测试"/>
      <w:bookmarkEnd w:id="33"/>
      <w:r>
        <w:t xml:space="preserve">4.6.1 </w:t>
      </w:r>
      <w:r>
        <w:rPr>
          <w:rFonts w:hint="eastAsia"/>
        </w:rPr>
        <w:t>适用纯虚拟仿真测试</w:t>
      </w:r>
    </w:p>
    <w:p w14:paraId="19C66104" w14:textId="77777777" w:rsidR="009B55B3" w:rsidRDefault="00CC309B">
      <w:pPr>
        <w:pStyle w:val="FirstParagraph"/>
      </w:pPr>
      <w:r>
        <w:rPr>
          <w:rFonts w:hint="eastAsia"/>
        </w:rPr>
        <w:t>仿真测试软件应支持纯软件环境下的智能网联汽车测试验证，能够在不依赖真实硬件设备的情况下完成场景构建、交通流运行、传感器仿真及自动驾驶系统闭环测试。</w:t>
      </w:r>
    </w:p>
    <w:p w14:paraId="6A848E7F" w14:textId="77777777" w:rsidR="009B55B3" w:rsidRDefault="00CC309B">
      <w:pPr>
        <w:pStyle w:val="a0"/>
      </w:pPr>
      <w:r>
        <w:t xml:space="preserve">a) </w:t>
      </w:r>
      <w:r>
        <w:rPr>
          <w:rFonts w:hint="eastAsia"/>
        </w:rPr>
        <w:t>支持软件在环（</w:t>
      </w:r>
      <w:r>
        <w:rPr>
          <w:rFonts w:hint="eastAsia"/>
        </w:rPr>
        <w:t>SIL</w:t>
      </w:r>
      <w:r>
        <w:rPr>
          <w:rFonts w:hint="eastAsia"/>
        </w:rPr>
        <w:t>）测试模式。</w:t>
      </w:r>
      <w:r>
        <w:br/>
        <w:t xml:space="preserve">b) </w:t>
      </w:r>
      <w:r>
        <w:rPr>
          <w:rFonts w:hint="eastAsia"/>
        </w:rPr>
        <w:t>支持自动驾驶感知、预测、决策、规划及控制算法的闭环测试。</w:t>
      </w:r>
      <w:r>
        <w:br/>
        <w:t xml:space="preserve">c) </w:t>
      </w:r>
      <w:r>
        <w:rPr>
          <w:rFonts w:hint="eastAsia"/>
        </w:rPr>
        <w:t>支持批量场景自动执行、自动评价及结果统计分析。</w:t>
      </w:r>
      <w:r>
        <w:br/>
        <w:t xml:space="preserve">d) </w:t>
      </w:r>
      <w:r>
        <w:rPr>
          <w:rFonts w:hint="eastAsia"/>
        </w:rPr>
        <w:t>支持参数扫描测试、随机测试及蒙特卡洛测试。</w:t>
      </w:r>
      <w:r>
        <w:br/>
        <w:t xml:space="preserve">e) </w:t>
      </w:r>
      <w:r>
        <w:rPr>
          <w:rFonts w:hint="eastAsia"/>
        </w:rPr>
        <w:t>支持大规模交通参与者并发运行及多场景并行计算。</w:t>
      </w:r>
      <w:r>
        <w:br/>
        <w:t xml:space="preserve">f) </w:t>
      </w:r>
      <w:r>
        <w:rPr>
          <w:rFonts w:hint="eastAsia"/>
        </w:rPr>
        <w:t>支持仿真过程回放、故障定位及测试结果复现。</w:t>
      </w:r>
    </w:p>
    <w:p w14:paraId="7A5B993E" w14:textId="77777777" w:rsidR="009B55B3" w:rsidRDefault="00CC309B">
      <w:pPr>
        <w:pStyle w:val="3"/>
      </w:pPr>
      <w:bookmarkStart w:id="35" w:name="适用台架式仿真测试"/>
      <w:bookmarkEnd w:id="34"/>
      <w:r>
        <w:t xml:space="preserve">4.6.2 </w:t>
      </w:r>
      <w:r>
        <w:rPr>
          <w:rFonts w:hint="eastAsia"/>
        </w:rPr>
        <w:t>适用台架式仿真测试</w:t>
      </w:r>
    </w:p>
    <w:p w14:paraId="2712CA13" w14:textId="77777777" w:rsidR="009B55B3" w:rsidRDefault="00CC309B">
      <w:pPr>
        <w:pStyle w:val="FirstParagraph"/>
      </w:pPr>
      <w:r>
        <w:rPr>
          <w:rFonts w:hint="eastAsia"/>
        </w:rPr>
        <w:t>仿真测试软件应支持与真实硬件设备构成闭环系统，实现硬件在环测试及控制器功能验证。</w:t>
      </w:r>
    </w:p>
    <w:p w14:paraId="16DEF9C5" w14:textId="77777777" w:rsidR="009B55B3" w:rsidRDefault="00CC309B">
      <w:pPr>
        <w:pStyle w:val="a0"/>
      </w:pPr>
      <w:r>
        <w:t xml:space="preserve">a) </w:t>
      </w:r>
      <w:r>
        <w:rPr>
          <w:rFonts w:hint="eastAsia"/>
        </w:rPr>
        <w:t>支持硬件在环（</w:t>
      </w:r>
      <w:r>
        <w:rPr>
          <w:rFonts w:hint="eastAsia"/>
        </w:rPr>
        <w:t>HIL</w:t>
      </w:r>
      <w:r>
        <w:rPr>
          <w:rFonts w:hint="eastAsia"/>
        </w:rPr>
        <w:t>）测试模式。</w:t>
      </w:r>
      <w:r>
        <w:br/>
        <w:t xml:space="preserve">b) </w:t>
      </w:r>
      <w:r>
        <w:rPr>
          <w:rFonts w:hint="eastAsia"/>
        </w:rPr>
        <w:t>支持车载控制器、域控制器、执行器及传感器硬件接入。</w:t>
      </w:r>
      <w:r>
        <w:br/>
        <w:t xml:space="preserve">c) </w:t>
      </w:r>
      <w:r>
        <w:rPr>
          <w:rFonts w:hint="eastAsia"/>
        </w:rPr>
        <w:t>支持</w:t>
      </w:r>
      <w:r>
        <w:t xml:space="preserve"> CAN</w:t>
      </w:r>
      <w:r>
        <w:t>、</w:t>
      </w:r>
      <w:r>
        <w:t>CAN FD</w:t>
      </w:r>
      <w:r>
        <w:t>、</w:t>
      </w:r>
      <w:r>
        <w:t>LIN</w:t>
      </w:r>
      <w:r>
        <w:t>、</w:t>
      </w:r>
      <w:r>
        <w:t>FlexRay</w:t>
      </w:r>
      <w:r>
        <w:t>、</w:t>
      </w:r>
      <w:r>
        <w:t xml:space="preserve">Automotive Ethernet </w:t>
      </w:r>
      <w:r>
        <w:rPr>
          <w:rFonts w:hint="eastAsia"/>
        </w:rPr>
        <w:t>等车载网络接口。</w:t>
      </w:r>
      <w:r>
        <w:br/>
        <w:t xml:space="preserve">d) </w:t>
      </w:r>
      <w:r>
        <w:rPr>
          <w:rFonts w:hint="eastAsia"/>
        </w:rPr>
        <w:t>支持硬件故障注入、通信异常注入及传感器异常注入。</w:t>
      </w:r>
      <w:r>
        <w:br/>
      </w:r>
      <w:r>
        <w:lastRenderedPageBreak/>
        <w:t xml:space="preserve">e) </w:t>
      </w:r>
      <w:r>
        <w:rPr>
          <w:rFonts w:hint="eastAsia"/>
        </w:rPr>
        <w:t>支持实时调度及高精度时钟同步机制。</w:t>
      </w:r>
      <w:r>
        <w:br/>
        <w:t xml:space="preserve">f) </w:t>
      </w:r>
      <w:r>
        <w:rPr>
          <w:rFonts w:hint="eastAsia"/>
        </w:rPr>
        <w:t>支持硬件状态监测、日志记录及故障追溯分析。</w:t>
      </w:r>
    </w:p>
    <w:p w14:paraId="0320BD42" w14:textId="77777777" w:rsidR="009B55B3" w:rsidRDefault="00CC309B">
      <w:pPr>
        <w:pStyle w:val="3"/>
      </w:pPr>
      <w:bookmarkStart w:id="36" w:name="适用虚实结合仿真测试"/>
      <w:bookmarkEnd w:id="35"/>
      <w:r>
        <w:t xml:space="preserve">4.6.3 </w:t>
      </w:r>
      <w:r>
        <w:rPr>
          <w:rFonts w:hint="eastAsia"/>
        </w:rPr>
        <w:t>适用虚实结合仿真测试</w:t>
      </w:r>
    </w:p>
    <w:p w14:paraId="1A09336B" w14:textId="77777777" w:rsidR="009B55B3" w:rsidRDefault="00CC309B">
      <w:pPr>
        <w:pStyle w:val="FirstParagraph"/>
      </w:pPr>
      <w:r>
        <w:rPr>
          <w:rFonts w:hint="eastAsia"/>
        </w:rPr>
        <w:t>仿真测试软件应支持虚拟场景与真实车辆、真实交通参与者及真实基础设施协同运行，实现虚实融合测试。</w:t>
      </w:r>
    </w:p>
    <w:p w14:paraId="6E064A51" w14:textId="77777777" w:rsidR="009B55B3" w:rsidRDefault="00CC309B">
      <w:pPr>
        <w:pStyle w:val="a0"/>
      </w:pPr>
      <w:r>
        <w:t xml:space="preserve">a) </w:t>
      </w:r>
      <w:r>
        <w:rPr>
          <w:rFonts w:hint="eastAsia"/>
        </w:rPr>
        <w:t>支持车辆在环（</w:t>
      </w:r>
      <w:r>
        <w:rPr>
          <w:rFonts w:hint="eastAsia"/>
        </w:rPr>
        <w:t>VIL</w:t>
      </w:r>
      <w:r>
        <w:rPr>
          <w:rFonts w:hint="eastAsia"/>
        </w:rPr>
        <w:t>）测试模式。</w:t>
      </w:r>
      <w:r>
        <w:br/>
        <w:t xml:space="preserve">b) </w:t>
      </w:r>
      <w:r>
        <w:rPr>
          <w:rFonts w:hint="eastAsia"/>
        </w:rPr>
        <w:t>支持数字孪生测试场构建与实时同步运行。</w:t>
      </w:r>
      <w:r>
        <w:br/>
        <w:t xml:space="preserve">c) </w:t>
      </w:r>
      <w:r>
        <w:rPr>
          <w:rFonts w:hint="eastAsia"/>
        </w:rPr>
        <w:t>支持真实车辆与虚拟交通流实时交互。</w:t>
      </w:r>
      <w:r>
        <w:br/>
        <w:t xml:space="preserve">d) </w:t>
      </w:r>
      <w:r>
        <w:rPr>
          <w:rFonts w:hint="eastAsia"/>
        </w:rPr>
        <w:t>支持真实传感器数据与仿真传感器数据协同融合。</w:t>
      </w:r>
      <w:r>
        <w:br/>
        <w:t xml:space="preserve">e) </w:t>
      </w:r>
      <w:r>
        <w:rPr>
          <w:rFonts w:hint="eastAsia"/>
        </w:rPr>
        <w:t>支持车、路、云、网协同测试验证。</w:t>
      </w:r>
      <w:r>
        <w:br/>
        <w:t xml:space="preserve">f) </w:t>
      </w:r>
      <w:r>
        <w:rPr>
          <w:rFonts w:hint="eastAsia"/>
        </w:rPr>
        <w:t>支持跨地域分布式协同仿真与远程测试。</w:t>
      </w:r>
    </w:p>
    <w:p w14:paraId="025DE9FC" w14:textId="77777777" w:rsidR="009B55B3" w:rsidRDefault="00CC309B">
      <w:pPr>
        <w:pStyle w:val="3"/>
      </w:pPr>
      <w:bookmarkStart w:id="37" w:name="场景配置灵活性"/>
      <w:bookmarkEnd w:id="36"/>
      <w:r>
        <w:t xml:space="preserve">4.6.4 </w:t>
      </w:r>
      <w:r>
        <w:rPr>
          <w:rFonts w:hint="eastAsia"/>
        </w:rPr>
        <w:t>场景配置灵活性</w:t>
      </w:r>
    </w:p>
    <w:p w14:paraId="67E61307" w14:textId="77777777" w:rsidR="009B55B3" w:rsidRDefault="00CC309B">
      <w:pPr>
        <w:pStyle w:val="FirstParagraph"/>
      </w:pPr>
      <w:r>
        <w:t xml:space="preserve">a) </w:t>
      </w:r>
      <w:r>
        <w:rPr>
          <w:rFonts w:hint="eastAsia"/>
        </w:rPr>
        <w:t>支持路网拓扑编辑、交通组织方案配置及交通需求生成。</w:t>
      </w:r>
      <w:r>
        <w:br/>
        <w:t xml:space="preserve">b) </w:t>
      </w:r>
      <w:r>
        <w:rPr>
          <w:rFonts w:hint="eastAsia"/>
        </w:rPr>
        <w:t>支持场景参数化建模及批量场景生成。</w:t>
      </w:r>
      <w:r>
        <w:br/>
        <w:t xml:space="preserve">c) </w:t>
      </w:r>
      <w:r>
        <w:rPr>
          <w:rFonts w:hint="eastAsia"/>
        </w:rPr>
        <w:t>支持</w:t>
      </w:r>
      <w:r>
        <w:t xml:space="preserve"> ASAM OpenDRIVE</w:t>
      </w:r>
      <w:r>
        <w:t>、</w:t>
      </w:r>
      <w:r>
        <w:t xml:space="preserve">ASAM OpenSCENARIO XML </w:t>
      </w:r>
      <w:r>
        <w:rPr>
          <w:rFonts w:hint="eastAsia"/>
        </w:rPr>
        <w:t>等标准化场景格式的导入与导出。</w:t>
      </w:r>
      <w:r>
        <w:br/>
        <w:t xml:space="preserve">d) </w:t>
      </w:r>
      <w:r>
        <w:rPr>
          <w:rFonts w:hint="eastAsia"/>
        </w:rPr>
        <w:t>支持基于数据驱动或人工智能模型生成交通参与者行为。</w:t>
      </w:r>
      <w:r>
        <w:br/>
        <w:t xml:space="preserve">e) </w:t>
      </w:r>
      <w:r>
        <w:rPr>
          <w:rFonts w:hint="eastAsia"/>
        </w:rPr>
        <w:t>支持场景库管理。</w:t>
      </w:r>
    </w:p>
    <w:p w14:paraId="0074F361" w14:textId="77777777" w:rsidR="009B55B3" w:rsidRDefault="00CC309B">
      <w:pPr>
        <w:pStyle w:val="3"/>
      </w:pPr>
      <w:bookmarkStart w:id="38" w:name="算法-仿真环境接口"/>
      <w:bookmarkEnd w:id="37"/>
      <w:r>
        <w:t xml:space="preserve">4.6.5 </w:t>
      </w:r>
      <w:r>
        <w:rPr>
          <w:rFonts w:hint="eastAsia"/>
        </w:rPr>
        <w:t>算法</w:t>
      </w:r>
      <w:r>
        <w:rPr>
          <w:rFonts w:hint="eastAsia"/>
        </w:rPr>
        <w:t>-</w:t>
      </w:r>
      <w:r>
        <w:rPr>
          <w:rFonts w:hint="eastAsia"/>
        </w:rPr>
        <w:t>仿真环境接口</w:t>
      </w:r>
    </w:p>
    <w:p w14:paraId="21A96FB6" w14:textId="77777777" w:rsidR="009B55B3" w:rsidRDefault="00CC309B">
      <w:pPr>
        <w:pStyle w:val="FirstParagraph"/>
      </w:pPr>
      <w:r>
        <w:t xml:space="preserve">a) </w:t>
      </w:r>
      <w:r>
        <w:rPr>
          <w:rFonts w:hint="eastAsia"/>
        </w:rPr>
        <w:t>支持用户自定义算法模型接入。</w:t>
      </w:r>
      <w:r>
        <w:br/>
        <w:t xml:space="preserve">b) </w:t>
      </w:r>
      <w:r>
        <w:rPr>
          <w:rFonts w:hint="eastAsia"/>
        </w:rPr>
        <w:t>支持</w:t>
      </w:r>
      <w:r>
        <w:t xml:space="preserve"> Python</w:t>
      </w:r>
      <w:r>
        <w:t>、</w:t>
      </w:r>
      <w:r>
        <w:t xml:space="preserve">C/C++ </w:t>
      </w:r>
      <w:r>
        <w:rPr>
          <w:rFonts w:hint="eastAsia"/>
        </w:rPr>
        <w:t>等主流开发语言接口。</w:t>
      </w:r>
      <w:r>
        <w:br/>
        <w:t xml:space="preserve">c) </w:t>
      </w:r>
      <w:r>
        <w:rPr>
          <w:rFonts w:hint="eastAsia"/>
        </w:rPr>
        <w:t>支持第三方自动驾驶软件栈接入。</w:t>
      </w:r>
      <w:r>
        <w:br/>
        <w:t xml:space="preserve">d) </w:t>
      </w:r>
      <w:r>
        <w:rPr>
          <w:rFonts w:hint="eastAsia"/>
        </w:rPr>
        <w:t>支持模型热更新及在线参数配置。</w:t>
      </w:r>
    </w:p>
    <w:p w14:paraId="7C2F57AE" w14:textId="77777777" w:rsidR="009B55B3" w:rsidRDefault="00CC309B">
      <w:pPr>
        <w:pStyle w:val="3"/>
      </w:pPr>
      <w:bookmarkStart w:id="39" w:name="数据与接口兼容性"/>
      <w:bookmarkEnd w:id="38"/>
      <w:r>
        <w:t xml:space="preserve">4.6.6 </w:t>
      </w:r>
      <w:r>
        <w:rPr>
          <w:rFonts w:hint="eastAsia"/>
        </w:rPr>
        <w:t>数据与接口兼容性</w:t>
      </w:r>
    </w:p>
    <w:p w14:paraId="3F43AD41" w14:textId="77777777" w:rsidR="009B55B3" w:rsidRDefault="00CC309B">
      <w:pPr>
        <w:pStyle w:val="FirstParagraph"/>
      </w:pPr>
      <w:r>
        <w:t xml:space="preserve">a) </w:t>
      </w:r>
      <w:r>
        <w:rPr>
          <w:rFonts w:hint="eastAsia"/>
        </w:rPr>
        <w:t>支持交通流数据、传感器数据及测试评价数据的标准化交换。</w:t>
      </w:r>
      <w:r>
        <w:br/>
      </w:r>
      <w:r>
        <w:lastRenderedPageBreak/>
        <w:t xml:space="preserve">b) </w:t>
      </w:r>
      <w:r>
        <w:rPr>
          <w:rFonts w:hint="eastAsia"/>
        </w:rPr>
        <w:t>支持</w:t>
      </w:r>
      <w:r>
        <w:t xml:space="preserve"> ROS 2</w:t>
      </w:r>
      <w:r>
        <w:t>、</w:t>
      </w:r>
      <w:r>
        <w:t xml:space="preserve">DDS </w:t>
      </w:r>
      <w:r>
        <w:rPr>
          <w:rFonts w:hint="eastAsia"/>
        </w:rPr>
        <w:t>等中间件接口。</w:t>
      </w:r>
      <w:r>
        <w:br/>
        <w:t xml:space="preserve">c) </w:t>
      </w:r>
      <w:r>
        <w:rPr>
          <w:rFonts w:hint="eastAsia"/>
        </w:rPr>
        <w:t>自动驾驶传感器与数据融合单元间的数据通信逻辑接口应符合</w:t>
      </w:r>
      <w:r>
        <w:t xml:space="preserve"> GB/T </w:t>
      </w:r>
      <w:r>
        <w:rPr>
          <w:rFonts w:hint="eastAsia"/>
        </w:rPr>
        <w:t>47126</w:t>
      </w:r>
      <w:r>
        <w:rPr>
          <w:rFonts w:hint="eastAsia"/>
        </w:rPr>
        <w:t>—</w:t>
      </w:r>
      <w:r>
        <w:rPr>
          <w:rFonts w:hint="eastAsia"/>
        </w:rPr>
        <w:t>2026</w:t>
      </w:r>
      <w:r>
        <w:rPr>
          <w:rFonts w:hint="eastAsia"/>
        </w:rPr>
        <w:t>；其他传感器数据接口应符合软件声称支持的接口规范。</w:t>
      </w:r>
      <w:r>
        <w:br/>
        <w:t xml:space="preserve">d) </w:t>
      </w:r>
      <w:r>
        <w:rPr>
          <w:rFonts w:hint="eastAsia"/>
        </w:rPr>
        <w:t>支持测试数据导入、导出及回放。</w:t>
      </w:r>
    </w:p>
    <w:p w14:paraId="225A5C39" w14:textId="77777777" w:rsidR="009B55B3" w:rsidRDefault="00CC309B">
      <w:pPr>
        <w:pStyle w:val="3"/>
      </w:pPr>
      <w:bookmarkStart w:id="40" w:name="可扩展性与可移植性"/>
      <w:bookmarkEnd w:id="39"/>
      <w:r>
        <w:t xml:space="preserve">4.6.7 </w:t>
      </w:r>
      <w:r>
        <w:rPr>
          <w:rFonts w:hint="eastAsia"/>
        </w:rPr>
        <w:t>可扩展性与可移植性</w:t>
      </w:r>
    </w:p>
    <w:p w14:paraId="7F90C6BA" w14:textId="77777777" w:rsidR="009B55B3" w:rsidRDefault="00CC309B">
      <w:pPr>
        <w:pStyle w:val="FirstParagraph"/>
      </w:pPr>
      <w:r>
        <w:t xml:space="preserve">a) </w:t>
      </w:r>
      <w:r>
        <w:rPr>
          <w:rFonts w:hint="eastAsia"/>
        </w:rPr>
        <w:t>车载控制器接口：支持</w:t>
      </w:r>
      <w:r>
        <w:t xml:space="preserve"> CAN FD</w:t>
      </w:r>
      <w:r>
        <w:t>、</w:t>
      </w:r>
      <w:r>
        <w:t>Ethernet AVB</w:t>
      </w:r>
      <w:r>
        <w:t>。</w:t>
      </w:r>
      <w:r>
        <w:br/>
        <w:t xml:space="preserve">b) </w:t>
      </w:r>
      <w:r>
        <w:rPr>
          <w:rFonts w:hint="eastAsia"/>
        </w:rPr>
        <w:t>执行器硬件接口：支持故障注入与闭环反馈。</w:t>
      </w:r>
      <w:r>
        <w:br/>
        <w:t xml:space="preserve">c) </w:t>
      </w:r>
      <w:r>
        <w:rPr>
          <w:rFonts w:hint="eastAsia"/>
        </w:rPr>
        <w:t>支持新增传感器模型、通信模型及交通行为模型扩展。</w:t>
      </w:r>
      <w:r>
        <w:br/>
        <w:t xml:space="preserve">d) </w:t>
      </w:r>
      <w:r>
        <w:rPr>
          <w:rFonts w:hint="eastAsia"/>
        </w:rPr>
        <w:t>支持不同测试场景及应用领域快速迁移复用。</w:t>
      </w:r>
    </w:p>
    <w:p w14:paraId="7024CD78" w14:textId="77777777" w:rsidR="009B55B3" w:rsidRDefault="00CC309B">
      <w:pPr>
        <w:pStyle w:val="3"/>
      </w:pPr>
      <w:bookmarkStart w:id="41" w:name="跨平台互联接口"/>
      <w:bookmarkEnd w:id="40"/>
      <w:r>
        <w:t xml:space="preserve">4.6.8 </w:t>
      </w:r>
      <w:r>
        <w:rPr>
          <w:rFonts w:hint="eastAsia"/>
        </w:rPr>
        <w:t>跨平台互联接口</w:t>
      </w:r>
    </w:p>
    <w:p w14:paraId="4EEB7731" w14:textId="77777777" w:rsidR="009B55B3" w:rsidRDefault="00CC309B">
      <w:pPr>
        <w:pStyle w:val="FirstParagraph"/>
      </w:pPr>
      <w:r>
        <w:t xml:space="preserve">a) </w:t>
      </w:r>
      <w:r>
        <w:rPr>
          <w:rFonts w:hint="eastAsia"/>
        </w:rPr>
        <w:t>支持分布式部署及云端部署。</w:t>
      </w:r>
      <w:r>
        <w:br/>
        <w:t xml:space="preserve">b) </w:t>
      </w:r>
      <w:r>
        <w:rPr>
          <w:rFonts w:hint="eastAsia"/>
        </w:rPr>
        <w:t>支持计算节点动态扩展。</w:t>
      </w:r>
      <w:r>
        <w:br/>
        <w:t xml:space="preserve">c) </w:t>
      </w:r>
      <w:r>
        <w:rPr>
          <w:rFonts w:hint="eastAsia"/>
        </w:rPr>
        <w:t>支持跨平台互联接口。</w:t>
      </w:r>
    </w:p>
    <w:p w14:paraId="3A4883B8" w14:textId="77777777" w:rsidR="009B55B3" w:rsidRDefault="00CC309B">
      <w:pPr>
        <w:pStyle w:val="3"/>
      </w:pPr>
      <w:bookmarkStart w:id="42" w:name="数据安全与隐私"/>
      <w:bookmarkEnd w:id="41"/>
      <w:r>
        <w:t xml:space="preserve">4.7 </w:t>
      </w:r>
      <w:r>
        <w:rPr>
          <w:rFonts w:hint="eastAsia"/>
        </w:rPr>
        <w:t>数据安全与隐私</w:t>
      </w:r>
    </w:p>
    <w:p w14:paraId="0AF1F96C" w14:textId="77777777" w:rsidR="009B55B3" w:rsidRDefault="00CC309B">
      <w:pPr>
        <w:pStyle w:val="FirstParagraph"/>
      </w:pPr>
      <w:r>
        <w:rPr>
          <w:rFonts w:hint="eastAsia"/>
        </w:rPr>
        <w:t>数据传输与存储应符合相关数据安全法规，对敏感信息（如车辆身份、位置轨迹）进行脱敏或加密处理。</w:t>
      </w:r>
    </w:p>
    <w:p w14:paraId="7FFA53F6" w14:textId="77777777" w:rsidR="009B55B3" w:rsidRDefault="00CC309B">
      <w:pPr>
        <w:pStyle w:val="2"/>
      </w:pPr>
      <w:bookmarkStart w:id="43" w:name="可信度评估指标"/>
      <w:bookmarkEnd w:id="14"/>
      <w:bookmarkEnd w:id="42"/>
      <w:r>
        <w:t xml:space="preserve">5 </w:t>
      </w:r>
      <w:r>
        <w:rPr>
          <w:rFonts w:hint="eastAsia"/>
        </w:rPr>
        <w:t>可信度评估指标</w:t>
      </w:r>
    </w:p>
    <w:p w14:paraId="4173F941" w14:textId="77777777" w:rsidR="009B55B3" w:rsidRDefault="00CC309B">
      <w:pPr>
        <w:pStyle w:val="3"/>
      </w:pPr>
      <w:bookmarkStart w:id="44" w:name="交通流仿真-1"/>
      <w:r>
        <w:t xml:space="preserve">5.1 </w:t>
      </w:r>
      <w:r>
        <w:rPr>
          <w:rFonts w:hint="eastAsia"/>
        </w:rPr>
        <w:t>交通流仿真</w:t>
      </w:r>
    </w:p>
    <w:p w14:paraId="192E1A3E" w14:textId="77777777" w:rsidR="009B55B3" w:rsidRDefault="00CC309B">
      <w:pPr>
        <w:pStyle w:val="3"/>
      </w:pPr>
      <w:bookmarkStart w:id="45" w:name="纵向运动控制跟驰行为"/>
      <w:bookmarkEnd w:id="44"/>
      <w:r>
        <w:t xml:space="preserve">5.1.1 </w:t>
      </w:r>
      <w:r>
        <w:rPr>
          <w:rFonts w:hint="eastAsia"/>
        </w:rPr>
        <w:t>纵向运动控制（跟驰行为）</w:t>
      </w:r>
    </w:p>
    <w:p w14:paraId="18B17805" w14:textId="77777777" w:rsidR="009B55B3" w:rsidRDefault="00CC309B">
      <w:pPr>
        <w:pStyle w:val="FirstParagraph"/>
      </w:pPr>
      <w:r>
        <w:rPr>
          <w:rFonts w:hint="eastAsia"/>
        </w:rPr>
        <w:t>纵向运动控制（跟驰行为）可信度评估指标见表</w:t>
      </w:r>
      <w:r>
        <w:rPr>
          <w:rFonts w:hint="eastAsia"/>
        </w:rPr>
        <w:t>1</w:t>
      </w:r>
      <w:r>
        <w:rPr>
          <w:rFonts w:hint="eastAsia"/>
        </w:rPr>
        <w:t>。</w:t>
      </w:r>
    </w:p>
    <w:p w14:paraId="6B5613D5" w14:textId="77777777" w:rsidR="009B55B3" w:rsidRDefault="00CC309B">
      <w:pPr>
        <w:pStyle w:val="a0"/>
        <w:autoSpaceDE w:val="0"/>
        <w:autoSpaceDN w:val="0"/>
        <w:jc w:val="center"/>
      </w:pPr>
      <w:r>
        <w:rPr>
          <w:rFonts w:hint="eastAsia"/>
        </w:rPr>
        <w:t>表</w:t>
      </w:r>
      <w:r>
        <w:rPr>
          <w:rFonts w:hint="eastAsia"/>
        </w:rPr>
        <w:t>1</w:t>
      </w:r>
      <w:r>
        <w:t xml:space="preserve"> </w:t>
      </w:r>
      <w:r>
        <w:rPr>
          <w:rFonts w:hint="eastAsia"/>
        </w:rPr>
        <w:t>纵向运动控制（跟驰行为）可信度评估指标</w:t>
      </w:r>
    </w:p>
    <w:tbl>
      <w:tblPr>
        <w:tblStyle w:val="Table"/>
        <w:tblW w:w="5000" w:type="pct"/>
        <w:jc w:val="center"/>
        <w:tblLook w:val="0020" w:firstRow="1" w:lastRow="0" w:firstColumn="0" w:lastColumn="0" w:noHBand="0" w:noVBand="0"/>
      </w:tblPr>
      <w:tblGrid>
        <w:gridCol w:w="1033"/>
        <w:gridCol w:w="1318"/>
        <w:gridCol w:w="6269"/>
      </w:tblGrid>
      <w:tr w:rsidR="009B55B3" w14:paraId="6A9E9BFE" w14:textId="77777777" w:rsidTr="009B55B3">
        <w:trPr>
          <w:cnfStyle w:val="100000000000" w:firstRow="1" w:lastRow="0" w:firstColumn="0" w:lastColumn="0" w:oddVBand="0" w:evenVBand="0" w:oddHBand="0" w:evenHBand="0" w:firstRowFirstColumn="0" w:firstRowLastColumn="0" w:lastRowFirstColumn="0" w:lastRowLastColumn="0"/>
          <w:jc w:val="center"/>
        </w:trPr>
        <w:tc>
          <w:tcPr>
            <w:tcW w:w="0" w:type="auto"/>
            <w:vAlign w:val="center"/>
          </w:tcPr>
          <w:p w14:paraId="6043BF2C" w14:textId="77777777" w:rsidR="009B55B3" w:rsidRDefault="00CC309B">
            <w:pPr>
              <w:pStyle w:val="Compact"/>
              <w:spacing w:line="240" w:lineRule="auto"/>
              <w:jc w:val="center"/>
            </w:pPr>
            <w:r>
              <w:rPr>
                <w:rFonts w:hint="eastAsia"/>
                <w:b/>
                <w:bCs/>
              </w:rPr>
              <w:t>评估维度</w:t>
            </w:r>
          </w:p>
        </w:tc>
        <w:tc>
          <w:tcPr>
            <w:tcW w:w="0" w:type="auto"/>
            <w:vAlign w:val="center"/>
          </w:tcPr>
          <w:p w14:paraId="2209F14C" w14:textId="77777777" w:rsidR="009B55B3" w:rsidRDefault="00CC309B">
            <w:pPr>
              <w:pStyle w:val="Compact"/>
              <w:spacing w:line="240" w:lineRule="auto"/>
              <w:jc w:val="center"/>
              <w:cnfStyle w:val="000000000000" w:firstRow="0" w:lastRow="0" w:firstColumn="0" w:lastColumn="0" w:oddVBand="0" w:evenVBand="0" w:oddHBand="0" w:evenHBand="0" w:firstRowFirstColumn="0" w:firstRowLastColumn="0" w:lastRowFirstColumn="0" w:lastRowLastColumn="0"/>
            </w:pPr>
            <w:r>
              <w:rPr>
                <w:rFonts w:hint="eastAsia"/>
                <w:b/>
                <w:bCs/>
              </w:rPr>
              <w:t>评估指标</w:t>
            </w:r>
          </w:p>
        </w:tc>
        <w:tc>
          <w:tcPr>
            <w:tcW w:w="0" w:type="auto"/>
            <w:vAlign w:val="center"/>
          </w:tcPr>
          <w:p w14:paraId="727AC32D" w14:textId="77777777" w:rsidR="009B55B3" w:rsidRDefault="00CC309B">
            <w:pPr>
              <w:pStyle w:val="Compact"/>
              <w:spacing w:line="240" w:lineRule="auto"/>
              <w:jc w:val="center"/>
              <w:cnfStyle w:val="000000000000" w:firstRow="0" w:lastRow="0" w:firstColumn="0" w:lastColumn="0" w:oddVBand="0" w:evenVBand="0" w:oddHBand="0" w:evenHBand="0" w:firstRowFirstColumn="0" w:firstRowLastColumn="0" w:lastRowFirstColumn="0" w:lastRowLastColumn="0"/>
            </w:pPr>
            <w:r>
              <w:rPr>
                <w:rFonts w:hint="eastAsia"/>
                <w:b/>
                <w:bCs/>
              </w:rPr>
              <w:t>指标说明与要求</w:t>
            </w:r>
          </w:p>
        </w:tc>
      </w:tr>
      <w:tr w:rsidR="009B55B3" w14:paraId="676CCBBF" w14:textId="77777777" w:rsidTr="009B55B3">
        <w:trPr>
          <w:jc w:val="center"/>
        </w:trPr>
        <w:tc>
          <w:tcPr>
            <w:tcW w:w="0" w:type="auto"/>
            <w:vAlign w:val="center"/>
          </w:tcPr>
          <w:p w14:paraId="61D348D8" w14:textId="77777777" w:rsidR="009B55B3" w:rsidRDefault="00CC309B">
            <w:pPr>
              <w:pStyle w:val="Compact"/>
              <w:spacing w:line="240" w:lineRule="auto"/>
              <w:jc w:val="center"/>
            </w:pPr>
            <w:r>
              <w:rPr>
                <w:rFonts w:hint="eastAsia"/>
              </w:rPr>
              <w:lastRenderedPageBreak/>
              <w:t>稳态跟驰精度</w:t>
            </w:r>
          </w:p>
        </w:tc>
        <w:tc>
          <w:tcPr>
            <w:tcW w:w="0" w:type="auto"/>
            <w:vAlign w:val="center"/>
          </w:tcPr>
          <w:p w14:paraId="019E840D" w14:textId="77777777" w:rsidR="009B55B3" w:rsidRDefault="00CC309B">
            <w:pPr>
              <w:pStyle w:val="Compact"/>
              <w:spacing w:line="240" w:lineRule="auto"/>
              <w:jc w:val="center"/>
            </w:pPr>
            <w:r>
              <w:rPr>
                <w:rFonts w:hint="eastAsia"/>
              </w:rPr>
              <w:t>车头时距分布拟合度</w:t>
            </w:r>
          </w:p>
        </w:tc>
        <w:tc>
          <w:tcPr>
            <w:tcW w:w="0" w:type="auto"/>
            <w:vAlign w:val="center"/>
          </w:tcPr>
          <w:p w14:paraId="393CAAAF" w14:textId="77777777" w:rsidR="009B55B3" w:rsidRDefault="00CC309B">
            <w:pPr>
              <w:pStyle w:val="Compact"/>
              <w:spacing w:line="240" w:lineRule="auto"/>
              <w:jc w:val="center"/>
            </w:pPr>
            <w:r>
              <w:rPr>
                <w:rFonts w:hint="eastAsia"/>
              </w:rPr>
              <w:t>与实测数据进行双样本科尔莫戈罗夫</w:t>
            </w:r>
            <w:r>
              <w:rPr>
                <w:rFonts w:hint="eastAsia"/>
              </w:rPr>
              <w:t>-</w:t>
            </w:r>
            <w:r>
              <w:rPr>
                <w:rFonts w:hint="eastAsia"/>
              </w:rPr>
              <w:t>斯米尔诺夫检验，显著性水平</w:t>
            </w:r>
            <w:r>
              <w:t xml:space="preserve"> </w:t>
            </w:r>
            <w:r>
              <w:rPr>
                <w:rFonts w:hint="eastAsia"/>
              </w:rPr>
              <w:t>α</w:t>
            </w:r>
            <w:r>
              <w:rPr>
                <w:rFonts w:hint="eastAsia"/>
              </w:rPr>
              <w:t>=0.05</w:t>
            </w:r>
            <w:r>
              <w:rPr>
                <w:rFonts w:hint="eastAsia"/>
              </w:rPr>
              <w:t>，</w:t>
            </w:r>
            <w:r>
              <w:rPr>
                <w:rFonts w:hint="eastAsia"/>
              </w:rPr>
              <w:t>p&gt;0.05</w:t>
            </w:r>
            <w:r>
              <w:rPr>
                <w:rFonts w:hint="eastAsia"/>
              </w:rPr>
              <w:t>，样本量建议≥</w:t>
            </w:r>
            <w:r>
              <w:rPr>
                <w:rFonts w:hint="eastAsia"/>
              </w:rPr>
              <w:t>100</w:t>
            </w:r>
            <w:r>
              <w:t xml:space="preserve"> </w:t>
            </w:r>
            <w:r>
              <w:rPr>
                <w:rFonts w:hint="eastAsia"/>
              </w:rPr>
              <w:t>对。</w:t>
            </w:r>
          </w:p>
        </w:tc>
      </w:tr>
      <w:tr w:rsidR="009B55B3" w14:paraId="4DDB98A9" w14:textId="77777777" w:rsidTr="009B55B3">
        <w:trPr>
          <w:jc w:val="center"/>
        </w:trPr>
        <w:tc>
          <w:tcPr>
            <w:tcW w:w="0" w:type="auto"/>
            <w:vAlign w:val="center"/>
          </w:tcPr>
          <w:p w14:paraId="53D15153" w14:textId="77777777" w:rsidR="009B55B3" w:rsidRDefault="00CC309B">
            <w:pPr>
              <w:pStyle w:val="Compact"/>
              <w:spacing w:line="240" w:lineRule="auto"/>
              <w:jc w:val="center"/>
            </w:pPr>
            <w:r>
              <w:rPr>
                <w:rFonts w:hint="eastAsia"/>
              </w:rPr>
              <w:t>非稳态响应</w:t>
            </w:r>
          </w:p>
        </w:tc>
        <w:tc>
          <w:tcPr>
            <w:tcW w:w="0" w:type="auto"/>
            <w:vAlign w:val="center"/>
          </w:tcPr>
          <w:p w14:paraId="2029CF6C" w14:textId="77777777" w:rsidR="009B55B3" w:rsidRDefault="00CC309B">
            <w:pPr>
              <w:pStyle w:val="Compact"/>
              <w:spacing w:line="240" w:lineRule="auto"/>
              <w:jc w:val="center"/>
            </w:pPr>
            <w:r>
              <w:rPr>
                <w:rFonts w:hint="eastAsia"/>
              </w:rPr>
              <w:t>反应时间分布</w:t>
            </w:r>
          </w:p>
        </w:tc>
        <w:tc>
          <w:tcPr>
            <w:tcW w:w="0" w:type="auto"/>
            <w:vAlign w:val="center"/>
          </w:tcPr>
          <w:p w14:paraId="7F0715C8" w14:textId="77777777" w:rsidR="009B55B3" w:rsidRDefault="00CC309B">
            <w:pPr>
              <w:pStyle w:val="Compact"/>
              <w:spacing w:line="240" w:lineRule="auto"/>
              <w:jc w:val="center"/>
            </w:pPr>
            <w:r>
              <w:rPr>
                <w:rFonts w:hint="eastAsia"/>
              </w:rPr>
              <w:t>仿真输出的反应时间（如前车减速至后车开始减速的间隔）应服从对数正态分布，其均值与标准差与实测数据无统计显著性差异。</w:t>
            </w:r>
          </w:p>
        </w:tc>
      </w:tr>
      <w:tr w:rsidR="009B55B3" w14:paraId="6E490958" w14:textId="77777777" w:rsidTr="009B55B3">
        <w:trPr>
          <w:jc w:val="center"/>
        </w:trPr>
        <w:tc>
          <w:tcPr>
            <w:tcW w:w="0" w:type="auto"/>
            <w:vAlign w:val="center"/>
          </w:tcPr>
          <w:p w14:paraId="7C7C60BC" w14:textId="77777777" w:rsidR="009B55B3" w:rsidRDefault="00CC309B">
            <w:pPr>
              <w:pStyle w:val="Compact"/>
              <w:spacing w:line="240" w:lineRule="auto"/>
              <w:jc w:val="center"/>
            </w:pPr>
            <w:r>
              <w:rPr>
                <w:rFonts w:hint="eastAsia"/>
              </w:rPr>
              <w:t>异质性体现</w:t>
            </w:r>
          </w:p>
        </w:tc>
        <w:tc>
          <w:tcPr>
            <w:tcW w:w="0" w:type="auto"/>
            <w:vAlign w:val="center"/>
          </w:tcPr>
          <w:p w14:paraId="4A98083A" w14:textId="77777777" w:rsidR="009B55B3" w:rsidRDefault="00CC309B">
            <w:pPr>
              <w:pStyle w:val="Compact"/>
              <w:spacing w:line="240" w:lineRule="auto"/>
              <w:jc w:val="center"/>
            </w:pPr>
            <w:r>
              <w:rPr>
                <w:rFonts w:hint="eastAsia"/>
              </w:rPr>
              <w:t>驾驶风格比例</w:t>
            </w:r>
          </w:p>
        </w:tc>
        <w:tc>
          <w:tcPr>
            <w:tcW w:w="0" w:type="auto"/>
            <w:vAlign w:val="center"/>
          </w:tcPr>
          <w:p w14:paraId="458083B1" w14:textId="77777777" w:rsidR="009B55B3" w:rsidRDefault="00CC309B">
            <w:pPr>
              <w:pStyle w:val="Compact"/>
              <w:spacing w:line="240" w:lineRule="auto"/>
              <w:jc w:val="center"/>
            </w:pPr>
            <w:r>
              <w:rPr>
                <w:rFonts w:hint="eastAsia"/>
              </w:rPr>
              <w:t>支持激进、普通、保守等至少三种驾驶风格的参数化配置，各风格在交通流中的比例可外部调整。</w:t>
            </w:r>
          </w:p>
        </w:tc>
      </w:tr>
    </w:tbl>
    <w:p w14:paraId="02F87254" w14:textId="77777777" w:rsidR="009B55B3" w:rsidRDefault="00CC309B">
      <w:pPr>
        <w:pStyle w:val="3"/>
      </w:pPr>
      <w:bookmarkStart w:id="46" w:name="横向运动控制换道行为"/>
      <w:bookmarkEnd w:id="45"/>
      <w:r>
        <w:t xml:space="preserve">5.1.2 </w:t>
      </w:r>
      <w:r>
        <w:rPr>
          <w:rFonts w:hint="eastAsia"/>
        </w:rPr>
        <w:t>横向运动控制（换道行为）</w:t>
      </w:r>
    </w:p>
    <w:p w14:paraId="1046AFA6" w14:textId="77777777" w:rsidR="009B55B3" w:rsidRDefault="00CC309B">
      <w:pPr>
        <w:pStyle w:val="FirstParagraph"/>
      </w:pPr>
      <w:r>
        <w:rPr>
          <w:rFonts w:hint="eastAsia"/>
        </w:rPr>
        <w:t>横向运动控制（换道行为）可信度评估指标见表</w:t>
      </w:r>
      <w:r>
        <w:rPr>
          <w:rFonts w:hint="eastAsia"/>
        </w:rPr>
        <w:t>2</w:t>
      </w:r>
      <w:r>
        <w:rPr>
          <w:rFonts w:hint="eastAsia"/>
        </w:rPr>
        <w:t>。</w:t>
      </w:r>
    </w:p>
    <w:p w14:paraId="02CD3074" w14:textId="77777777" w:rsidR="009B55B3" w:rsidRDefault="00CC309B">
      <w:pPr>
        <w:pStyle w:val="a0"/>
        <w:autoSpaceDE w:val="0"/>
        <w:autoSpaceDN w:val="0"/>
        <w:jc w:val="center"/>
      </w:pPr>
      <w:r>
        <w:rPr>
          <w:rFonts w:hint="eastAsia"/>
        </w:rPr>
        <w:t>表</w:t>
      </w:r>
      <w:r>
        <w:rPr>
          <w:rFonts w:hint="eastAsia"/>
        </w:rPr>
        <w:t>2</w:t>
      </w:r>
      <w:r>
        <w:t xml:space="preserve"> </w:t>
      </w:r>
      <w:r>
        <w:rPr>
          <w:rFonts w:hint="eastAsia"/>
        </w:rPr>
        <w:t>横向运动控制（换道行为）可信度评估指标</w:t>
      </w:r>
    </w:p>
    <w:tbl>
      <w:tblPr>
        <w:tblStyle w:val="Table"/>
        <w:tblW w:w="5000" w:type="pct"/>
        <w:jc w:val="center"/>
        <w:tblLook w:val="0020" w:firstRow="1" w:lastRow="0" w:firstColumn="0" w:lastColumn="0" w:noHBand="0" w:noVBand="0"/>
      </w:tblPr>
      <w:tblGrid>
        <w:gridCol w:w="1034"/>
        <w:gridCol w:w="1223"/>
        <w:gridCol w:w="6363"/>
      </w:tblGrid>
      <w:tr w:rsidR="009B55B3" w14:paraId="406E9D20" w14:textId="77777777" w:rsidTr="009B55B3">
        <w:trPr>
          <w:cnfStyle w:val="100000000000" w:firstRow="1" w:lastRow="0" w:firstColumn="0" w:lastColumn="0" w:oddVBand="0" w:evenVBand="0" w:oddHBand="0" w:evenHBand="0" w:firstRowFirstColumn="0" w:firstRowLastColumn="0" w:lastRowFirstColumn="0" w:lastRowLastColumn="0"/>
          <w:jc w:val="center"/>
        </w:trPr>
        <w:tc>
          <w:tcPr>
            <w:tcW w:w="0" w:type="auto"/>
            <w:vAlign w:val="center"/>
          </w:tcPr>
          <w:p w14:paraId="14C87EA7" w14:textId="77777777" w:rsidR="009B55B3" w:rsidRDefault="00CC309B">
            <w:pPr>
              <w:pStyle w:val="Compact"/>
              <w:spacing w:line="240" w:lineRule="auto"/>
              <w:jc w:val="center"/>
            </w:pPr>
            <w:r>
              <w:rPr>
                <w:rFonts w:hint="eastAsia"/>
                <w:b/>
                <w:bCs/>
              </w:rPr>
              <w:t>评估维度</w:t>
            </w:r>
          </w:p>
        </w:tc>
        <w:tc>
          <w:tcPr>
            <w:tcW w:w="0" w:type="auto"/>
            <w:vAlign w:val="center"/>
          </w:tcPr>
          <w:p w14:paraId="6AAF7C19" w14:textId="77777777" w:rsidR="009B55B3" w:rsidRDefault="00CC309B">
            <w:pPr>
              <w:pStyle w:val="Compact"/>
              <w:spacing w:line="240" w:lineRule="auto"/>
              <w:jc w:val="center"/>
              <w:cnfStyle w:val="000000000000" w:firstRow="0" w:lastRow="0" w:firstColumn="0" w:lastColumn="0" w:oddVBand="0" w:evenVBand="0" w:oddHBand="0" w:evenHBand="0" w:firstRowFirstColumn="0" w:firstRowLastColumn="0" w:lastRowFirstColumn="0" w:lastRowLastColumn="0"/>
            </w:pPr>
            <w:r>
              <w:rPr>
                <w:rFonts w:hint="eastAsia"/>
                <w:b/>
                <w:bCs/>
              </w:rPr>
              <w:t>评估指标</w:t>
            </w:r>
          </w:p>
        </w:tc>
        <w:tc>
          <w:tcPr>
            <w:tcW w:w="0" w:type="auto"/>
            <w:vAlign w:val="center"/>
          </w:tcPr>
          <w:p w14:paraId="6938BB19" w14:textId="77777777" w:rsidR="009B55B3" w:rsidRDefault="00CC309B">
            <w:pPr>
              <w:pStyle w:val="Compact"/>
              <w:spacing w:line="240" w:lineRule="auto"/>
              <w:jc w:val="center"/>
              <w:cnfStyle w:val="000000000000" w:firstRow="0" w:lastRow="0" w:firstColumn="0" w:lastColumn="0" w:oddVBand="0" w:evenVBand="0" w:oddHBand="0" w:evenHBand="0" w:firstRowFirstColumn="0" w:firstRowLastColumn="0" w:lastRowFirstColumn="0" w:lastRowLastColumn="0"/>
            </w:pPr>
            <w:r>
              <w:rPr>
                <w:rFonts w:hint="eastAsia"/>
                <w:b/>
                <w:bCs/>
              </w:rPr>
              <w:t>指标说明与要求</w:t>
            </w:r>
          </w:p>
        </w:tc>
      </w:tr>
      <w:tr w:rsidR="009B55B3" w14:paraId="1A8F4FDF" w14:textId="77777777" w:rsidTr="009B55B3">
        <w:trPr>
          <w:jc w:val="center"/>
        </w:trPr>
        <w:tc>
          <w:tcPr>
            <w:tcW w:w="0" w:type="auto"/>
            <w:vAlign w:val="center"/>
          </w:tcPr>
          <w:p w14:paraId="6E8EB5CE" w14:textId="77777777" w:rsidR="009B55B3" w:rsidRDefault="00CC309B">
            <w:pPr>
              <w:pStyle w:val="Compact"/>
              <w:spacing w:line="240" w:lineRule="auto"/>
              <w:jc w:val="center"/>
            </w:pPr>
            <w:r>
              <w:rPr>
                <w:rFonts w:hint="eastAsia"/>
              </w:rPr>
              <w:t>换道决策逻辑</w:t>
            </w:r>
          </w:p>
        </w:tc>
        <w:tc>
          <w:tcPr>
            <w:tcW w:w="0" w:type="auto"/>
            <w:vAlign w:val="center"/>
          </w:tcPr>
          <w:p w14:paraId="73E1903A" w14:textId="77777777" w:rsidR="009B55B3" w:rsidRDefault="00CC309B">
            <w:pPr>
              <w:pStyle w:val="Compact"/>
              <w:spacing w:line="240" w:lineRule="auto"/>
              <w:jc w:val="center"/>
            </w:pPr>
            <w:r>
              <w:rPr>
                <w:rFonts w:hint="eastAsia"/>
              </w:rPr>
              <w:t>强制性换道成功率</w:t>
            </w:r>
          </w:p>
        </w:tc>
        <w:tc>
          <w:tcPr>
            <w:tcW w:w="0" w:type="auto"/>
            <w:vAlign w:val="center"/>
          </w:tcPr>
          <w:p w14:paraId="2F66EC98" w14:textId="77777777" w:rsidR="009B55B3" w:rsidRDefault="00CC309B">
            <w:pPr>
              <w:pStyle w:val="Compact"/>
              <w:spacing w:line="240" w:lineRule="auto"/>
              <w:jc w:val="center"/>
            </w:pPr>
            <w:r>
              <w:rPr>
                <w:rFonts w:hint="eastAsia"/>
              </w:rPr>
              <w:t>在特定场景下（如匝道合流），换道成功率应随车主道交通密度增加而动态、合理变化，非恒定值，与实测统计规律相符。</w:t>
            </w:r>
          </w:p>
        </w:tc>
      </w:tr>
      <w:tr w:rsidR="009B55B3" w14:paraId="009C4001" w14:textId="77777777" w:rsidTr="009B55B3">
        <w:trPr>
          <w:jc w:val="center"/>
        </w:trPr>
        <w:tc>
          <w:tcPr>
            <w:tcW w:w="0" w:type="auto"/>
            <w:vAlign w:val="center"/>
          </w:tcPr>
          <w:p w14:paraId="06F7F0E3" w14:textId="77777777" w:rsidR="009B55B3" w:rsidRDefault="00CC309B">
            <w:pPr>
              <w:pStyle w:val="Compact"/>
              <w:spacing w:line="240" w:lineRule="auto"/>
              <w:jc w:val="center"/>
            </w:pPr>
            <w:r>
              <w:rPr>
                <w:rFonts w:hint="eastAsia"/>
              </w:rPr>
              <w:t>间隙接受理论</w:t>
            </w:r>
          </w:p>
        </w:tc>
        <w:tc>
          <w:tcPr>
            <w:tcW w:w="0" w:type="auto"/>
            <w:vAlign w:val="center"/>
          </w:tcPr>
          <w:p w14:paraId="70E0E3E4" w14:textId="77777777" w:rsidR="009B55B3" w:rsidRDefault="00CC309B">
            <w:pPr>
              <w:pStyle w:val="Compact"/>
              <w:spacing w:line="240" w:lineRule="auto"/>
              <w:jc w:val="center"/>
            </w:pPr>
            <w:r>
              <w:rPr>
                <w:rFonts w:hint="eastAsia"/>
              </w:rPr>
              <w:t>临界间隙分布</w:t>
            </w:r>
          </w:p>
        </w:tc>
        <w:tc>
          <w:tcPr>
            <w:tcW w:w="0" w:type="auto"/>
            <w:vAlign w:val="center"/>
          </w:tcPr>
          <w:p w14:paraId="7E93A134" w14:textId="77777777" w:rsidR="009B55B3" w:rsidRDefault="00CC309B">
            <w:pPr>
              <w:pStyle w:val="Compact"/>
              <w:spacing w:line="240" w:lineRule="auto"/>
              <w:jc w:val="center"/>
            </w:pPr>
            <w:r>
              <w:rPr>
                <w:rFonts w:hint="eastAsia"/>
              </w:rPr>
              <w:t>仿真中驾驶员接受的换道间隙大小应随驾驶风格（激进者接受更小间隙）与紧迫感动态变化，其分布与实测数据经统计检验无显著差异。</w:t>
            </w:r>
          </w:p>
        </w:tc>
      </w:tr>
      <w:tr w:rsidR="009B55B3" w14:paraId="091754E7" w14:textId="77777777" w:rsidTr="009B55B3">
        <w:trPr>
          <w:jc w:val="center"/>
        </w:trPr>
        <w:tc>
          <w:tcPr>
            <w:tcW w:w="0" w:type="auto"/>
            <w:vAlign w:val="center"/>
          </w:tcPr>
          <w:p w14:paraId="05502070" w14:textId="77777777" w:rsidR="009B55B3" w:rsidRDefault="00CC309B">
            <w:pPr>
              <w:pStyle w:val="Compact"/>
              <w:spacing w:line="240" w:lineRule="auto"/>
              <w:jc w:val="center"/>
            </w:pPr>
            <w:r>
              <w:rPr>
                <w:rFonts w:hint="eastAsia"/>
              </w:rPr>
              <w:t>轨迹拟人性</w:t>
            </w:r>
          </w:p>
        </w:tc>
        <w:tc>
          <w:tcPr>
            <w:tcW w:w="0" w:type="auto"/>
            <w:vAlign w:val="center"/>
          </w:tcPr>
          <w:p w14:paraId="6DF91365" w14:textId="77777777" w:rsidR="009B55B3" w:rsidRDefault="00CC309B">
            <w:pPr>
              <w:pStyle w:val="Compact"/>
              <w:spacing w:line="240" w:lineRule="auto"/>
              <w:jc w:val="center"/>
            </w:pPr>
            <w:r>
              <w:rPr>
                <w:rFonts w:hint="eastAsia"/>
              </w:rPr>
              <w:t>换道持续时间</w:t>
            </w:r>
          </w:p>
        </w:tc>
        <w:tc>
          <w:tcPr>
            <w:tcW w:w="0" w:type="auto"/>
            <w:vAlign w:val="center"/>
          </w:tcPr>
          <w:p w14:paraId="076A0390" w14:textId="77777777" w:rsidR="009B55B3" w:rsidRDefault="00CC309B">
            <w:pPr>
              <w:pStyle w:val="Compact"/>
              <w:spacing w:line="240" w:lineRule="auto"/>
              <w:jc w:val="center"/>
            </w:pPr>
            <w:r>
              <w:rPr>
                <w:rFonts w:hint="eastAsia"/>
              </w:rPr>
              <w:t>典型换道操作持续时间应在</w:t>
            </w:r>
            <w:r>
              <w:t xml:space="preserve"> 3 </w:t>
            </w:r>
            <w:r>
              <w:rPr>
                <w:rFonts w:hint="eastAsia"/>
              </w:rPr>
              <w:t>s</w:t>
            </w:r>
            <w:r>
              <w:rPr>
                <w:rFonts w:hint="eastAsia"/>
              </w:rPr>
              <w:t>～</w:t>
            </w:r>
            <w:r>
              <w:rPr>
                <w:rFonts w:hint="eastAsia"/>
              </w:rPr>
              <w:t>6</w:t>
            </w:r>
            <w:r>
              <w:t xml:space="preserve"> s </w:t>
            </w:r>
            <w:r>
              <w:rPr>
                <w:rFonts w:hint="eastAsia"/>
              </w:rPr>
              <w:t>范围内，横向加速度变化率（冲击度）≤</w:t>
            </w:r>
            <w:r>
              <w:rPr>
                <w:rFonts w:hint="eastAsia"/>
              </w:rPr>
              <w:t>0.3</w:t>
            </w:r>
            <w:r>
              <w:t xml:space="preserve"> g/s</w:t>
            </w:r>
            <w:r>
              <w:t>。</w:t>
            </w:r>
          </w:p>
        </w:tc>
      </w:tr>
    </w:tbl>
    <w:p w14:paraId="5F20CE20" w14:textId="77777777" w:rsidR="009B55B3" w:rsidRDefault="00CC309B">
      <w:pPr>
        <w:pStyle w:val="3"/>
      </w:pPr>
      <w:bookmarkStart w:id="47" w:name="交叉路口通行行为"/>
      <w:bookmarkEnd w:id="46"/>
      <w:r>
        <w:t xml:space="preserve">5.1.3 </w:t>
      </w:r>
      <w:r>
        <w:rPr>
          <w:rFonts w:hint="eastAsia"/>
        </w:rPr>
        <w:t>交叉路口通行行为</w:t>
      </w:r>
    </w:p>
    <w:p w14:paraId="089081E9" w14:textId="77777777" w:rsidR="009B55B3" w:rsidRDefault="00CC309B">
      <w:pPr>
        <w:pStyle w:val="FirstParagraph"/>
      </w:pPr>
      <w:r>
        <w:rPr>
          <w:rFonts w:hint="eastAsia"/>
        </w:rPr>
        <w:t>交叉路口通行行为可信度评估指标见表</w:t>
      </w:r>
      <w:r>
        <w:rPr>
          <w:rFonts w:hint="eastAsia"/>
        </w:rPr>
        <w:t>3</w:t>
      </w:r>
      <w:r>
        <w:rPr>
          <w:rFonts w:hint="eastAsia"/>
        </w:rPr>
        <w:t>。</w:t>
      </w:r>
    </w:p>
    <w:p w14:paraId="2AD48AC8" w14:textId="77777777" w:rsidR="009B55B3" w:rsidRDefault="00CC309B">
      <w:pPr>
        <w:pStyle w:val="a0"/>
        <w:autoSpaceDE w:val="0"/>
        <w:autoSpaceDN w:val="0"/>
        <w:jc w:val="center"/>
      </w:pPr>
      <w:r>
        <w:rPr>
          <w:rFonts w:hint="eastAsia"/>
        </w:rPr>
        <w:t>表</w:t>
      </w:r>
      <w:r>
        <w:rPr>
          <w:rFonts w:hint="eastAsia"/>
        </w:rPr>
        <w:t>3</w:t>
      </w:r>
      <w:r>
        <w:t xml:space="preserve"> </w:t>
      </w:r>
      <w:r>
        <w:rPr>
          <w:rFonts w:hint="eastAsia"/>
        </w:rPr>
        <w:t>交叉路口通行行为可信度评估指标</w:t>
      </w:r>
    </w:p>
    <w:tbl>
      <w:tblPr>
        <w:tblStyle w:val="Table"/>
        <w:tblW w:w="5000" w:type="pct"/>
        <w:jc w:val="center"/>
        <w:tblLook w:val="0020" w:firstRow="1" w:lastRow="0" w:firstColumn="0" w:lastColumn="0" w:noHBand="0" w:noVBand="0"/>
      </w:tblPr>
      <w:tblGrid>
        <w:gridCol w:w="833"/>
        <w:gridCol w:w="1616"/>
        <w:gridCol w:w="6171"/>
      </w:tblGrid>
      <w:tr w:rsidR="009B55B3" w14:paraId="5A062020" w14:textId="77777777" w:rsidTr="009B55B3">
        <w:trPr>
          <w:cnfStyle w:val="100000000000" w:firstRow="1" w:lastRow="0" w:firstColumn="0" w:lastColumn="0" w:oddVBand="0" w:evenVBand="0" w:oddHBand="0" w:evenHBand="0" w:firstRowFirstColumn="0" w:firstRowLastColumn="0" w:lastRowFirstColumn="0" w:lastRowLastColumn="0"/>
          <w:jc w:val="center"/>
        </w:trPr>
        <w:tc>
          <w:tcPr>
            <w:tcW w:w="0" w:type="auto"/>
            <w:vAlign w:val="center"/>
          </w:tcPr>
          <w:p w14:paraId="36DCEAE8" w14:textId="77777777" w:rsidR="009B55B3" w:rsidRDefault="00CC309B">
            <w:pPr>
              <w:pStyle w:val="Compact"/>
              <w:spacing w:line="240" w:lineRule="auto"/>
              <w:jc w:val="center"/>
            </w:pPr>
            <w:r>
              <w:rPr>
                <w:rFonts w:hint="eastAsia"/>
                <w:b/>
                <w:bCs/>
              </w:rPr>
              <w:t>评估维度</w:t>
            </w:r>
          </w:p>
        </w:tc>
        <w:tc>
          <w:tcPr>
            <w:tcW w:w="0" w:type="auto"/>
            <w:vAlign w:val="center"/>
          </w:tcPr>
          <w:p w14:paraId="542C8E5D" w14:textId="77777777" w:rsidR="009B55B3" w:rsidRDefault="00CC309B">
            <w:pPr>
              <w:pStyle w:val="Compact"/>
              <w:spacing w:line="240" w:lineRule="auto"/>
              <w:jc w:val="center"/>
              <w:cnfStyle w:val="000000000000" w:firstRow="0" w:lastRow="0" w:firstColumn="0" w:lastColumn="0" w:oddVBand="0" w:evenVBand="0" w:oddHBand="0" w:evenHBand="0" w:firstRowFirstColumn="0" w:firstRowLastColumn="0" w:lastRowFirstColumn="0" w:lastRowLastColumn="0"/>
            </w:pPr>
            <w:r>
              <w:rPr>
                <w:rFonts w:hint="eastAsia"/>
                <w:b/>
                <w:bCs/>
              </w:rPr>
              <w:t>评估指标</w:t>
            </w:r>
          </w:p>
        </w:tc>
        <w:tc>
          <w:tcPr>
            <w:tcW w:w="0" w:type="auto"/>
            <w:vAlign w:val="center"/>
          </w:tcPr>
          <w:p w14:paraId="4C5E5595" w14:textId="77777777" w:rsidR="009B55B3" w:rsidRDefault="00CC309B">
            <w:pPr>
              <w:pStyle w:val="Compact"/>
              <w:spacing w:line="240" w:lineRule="auto"/>
              <w:jc w:val="center"/>
              <w:cnfStyle w:val="000000000000" w:firstRow="0" w:lastRow="0" w:firstColumn="0" w:lastColumn="0" w:oddVBand="0" w:evenVBand="0" w:oddHBand="0" w:evenHBand="0" w:firstRowFirstColumn="0" w:firstRowLastColumn="0" w:lastRowFirstColumn="0" w:lastRowLastColumn="0"/>
            </w:pPr>
            <w:r>
              <w:rPr>
                <w:rFonts w:hint="eastAsia"/>
                <w:b/>
                <w:bCs/>
              </w:rPr>
              <w:t>指标说明与要求</w:t>
            </w:r>
          </w:p>
        </w:tc>
      </w:tr>
      <w:tr w:rsidR="009B55B3" w14:paraId="182CF6AB" w14:textId="77777777" w:rsidTr="009B55B3">
        <w:trPr>
          <w:jc w:val="center"/>
        </w:trPr>
        <w:tc>
          <w:tcPr>
            <w:tcW w:w="0" w:type="auto"/>
            <w:vAlign w:val="center"/>
          </w:tcPr>
          <w:p w14:paraId="380B5427" w14:textId="77777777" w:rsidR="009B55B3" w:rsidRDefault="00CC309B">
            <w:pPr>
              <w:pStyle w:val="Compact"/>
              <w:spacing w:line="240" w:lineRule="auto"/>
              <w:jc w:val="center"/>
            </w:pPr>
            <w:r>
              <w:rPr>
                <w:rFonts w:hint="eastAsia"/>
              </w:rPr>
              <w:lastRenderedPageBreak/>
              <w:t>信号灯响应</w:t>
            </w:r>
          </w:p>
        </w:tc>
        <w:tc>
          <w:tcPr>
            <w:tcW w:w="0" w:type="auto"/>
            <w:vAlign w:val="center"/>
          </w:tcPr>
          <w:p w14:paraId="25A81E8E" w14:textId="77777777" w:rsidR="009B55B3" w:rsidRDefault="00CC309B">
            <w:pPr>
              <w:pStyle w:val="Compact"/>
              <w:spacing w:line="240" w:lineRule="auto"/>
              <w:jc w:val="center"/>
            </w:pPr>
            <w:r>
              <w:rPr>
                <w:rFonts w:hint="eastAsia"/>
              </w:rPr>
              <w:t>对于红、黄、绿灯的响应差异性</w:t>
            </w:r>
          </w:p>
        </w:tc>
        <w:tc>
          <w:tcPr>
            <w:tcW w:w="0" w:type="auto"/>
            <w:vAlign w:val="center"/>
          </w:tcPr>
          <w:p w14:paraId="3DA904E1" w14:textId="77777777" w:rsidR="009B55B3" w:rsidRDefault="00CC309B">
            <w:pPr>
              <w:pStyle w:val="Compact"/>
              <w:spacing w:line="240" w:lineRule="auto"/>
              <w:jc w:val="center"/>
            </w:pPr>
            <w:r>
              <w:rPr>
                <w:rFonts w:hint="eastAsia"/>
              </w:rPr>
              <w:t>在交叉路口，车辆应表现出驾驶员对于红灯、绿灯响应时间的个体差异性，表现出对于黄灯响应决策（如减速停车或等速、加速通过）的个体差异性，整体统计规律符合实测交互数据。</w:t>
            </w:r>
          </w:p>
        </w:tc>
      </w:tr>
      <w:tr w:rsidR="009B55B3" w14:paraId="2FCCFE19" w14:textId="77777777" w:rsidTr="009B55B3">
        <w:trPr>
          <w:jc w:val="center"/>
        </w:trPr>
        <w:tc>
          <w:tcPr>
            <w:tcW w:w="0" w:type="auto"/>
            <w:vAlign w:val="center"/>
          </w:tcPr>
          <w:p w14:paraId="0FFFCA2D" w14:textId="77777777" w:rsidR="009B55B3" w:rsidRDefault="00CC309B">
            <w:pPr>
              <w:pStyle w:val="Compact"/>
              <w:spacing w:line="240" w:lineRule="auto"/>
              <w:jc w:val="center"/>
            </w:pPr>
            <w:r>
              <w:rPr>
                <w:rFonts w:hint="eastAsia"/>
              </w:rPr>
              <w:t>路权博弈</w:t>
            </w:r>
          </w:p>
        </w:tc>
        <w:tc>
          <w:tcPr>
            <w:tcW w:w="0" w:type="auto"/>
            <w:vAlign w:val="center"/>
          </w:tcPr>
          <w:p w14:paraId="62FBE1D5" w14:textId="77777777" w:rsidR="009B55B3" w:rsidRDefault="00CC309B">
            <w:pPr>
              <w:pStyle w:val="Compact"/>
              <w:spacing w:line="240" w:lineRule="auto"/>
              <w:jc w:val="center"/>
            </w:pPr>
            <w:r>
              <w:rPr>
                <w:rFonts w:hint="eastAsia"/>
              </w:rPr>
              <w:t>抢行与让行概率</w:t>
            </w:r>
          </w:p>
        </w:tc>
        <w:tc>
          <w:tcPr>
            <w:tcW w:w="0" w:type="auto"/>
            <w:vAlign w:val="center"/>
          </w:tcPr>
          <w:p w14:paraId="74139F23" w14:textId="77777777" w:rsidR="009B55B3" w:rsidRDefault="00CC309B">
            <w:pPr>
              <w:pStyle w:val="Compact"/>
              <w:spacing w:line="240" w:lineRule="auto"/>
              <w:jc w:val="center"/>
            </w:pPr>
            <w:r>
              <w:rPr>
                <w:rFonts w:hint="eastAsia"/>
              </w:rPr>
              <w:t>在交叉路口，车辆抢行与让行的概率应为可配置参数，并与驾驶风格（激进程度）相关，整体统计规律符合实测交互数据。</w:t>
            </w:r>
          </w:p>
        </w:tc>
      </w:tr>
      <w:tr w:rsidR="009B55B3" w14:paraId="0B4D84BD" w14:textId="77777777" w:rsidTr="009B55B3">
        <w:trPr>
          <w:jc w:val="center"/>
        </w:trPr>
        <w:tc>
          <w:tcPr>
            <w:tcW w:w="0" w:type="auto"/>
            <w:vAlign w:val="center"/>
          </w:tcPr>
          <w:p w14:paraId="663CCCA3" w14:textId="77777777" w:rsidR="009B55B3" w:rsidRDefault="00CC309B">
            <w:pPr>
              <w:pStyle w:val="Compact"/>
              <w:spacing w:line="240" w:lineRule="auto"/>
              <w:jc w:val="center"/>
            </w:pPr>
            <w:r>
              <w:rPr>
                <w:rFonts w:hint="eastAsia"/>
              </w:rPr>
              <w:t>微观操作</w:t>
            </w:r>
          </w:p>
        </w:tc>
        <w:tc>
          <w:tcPr>
            <w:tcW w:w="0" w:type="auto"/>
            <w:vAlign w:val="center"/>
          </w:tcPr>
          <w:p w14:paraId="458374F6" w14:textId="77777777" w:rsidR="009B55B3" w:rsidRDefault="00CC309B">
            <w:pPr>
              <w:pStyle w:val="Compact"/>
              <w:spacing w:line="240" w:lineRule="auto"/>
              <w:jc w:val="center"/>
            </w:pPr>
            <w:r>
              <w:rPr>
                <w:rFonts w:hint="eastAsia"/>
              </w:rPr>
              <w:t>视距受限行为</w:t>
            </w:r>
          </w:p>
        </w:tc>
        <w:tc>
          <w:tcPr>
            <w:tcW w:w="0" w:type="auto"/>
            <w:vAlign w:val="center"/>
          </w:tcPr>
          <w:p w14:paraId="5F2AE2D9" w14:textId="77777777" w:rsidR="009B55B3" w:rsidRDefault="00CC309B">
            <w:pPr>
              <w:pStyle w:val="Compact"/>
              <w:spacing w:line="240" w:lineRule="auto"/>
              <w:jc w:val="center"/>
            </w:pPr>
            <w:r>
              <w:rPr>
                <w:rFonts w:hint="eastAsia"/>
              </w:rPr>
              <w:t>在视距受限的交叉路口，车辆应表现出减速、停车观察、缓慢探头通过等谨慎行为。</w:t>
            </w:r>
          </w:p>
        </w:tc>
      </w:tr>
    </w:tbl>
    <w:p w14:paraId="37E9FB56" w14:textId="77777777" w:rsidR="009B55B3" w:rsidRDefault="00CC309B">
      <w:pPr>
        <w:pStyle w:val="3"/>
      </w:pPr>
      <w:bookmarkStart w:id="48" w:name="弱势道路使用者交互"/>
      <w:bookmarkEnd w:id="47"/>
      <w:r>
        <w:t xml:space="preserve">5.1.4 </w:t>
      </w:r>
      <w:r>
        <w:rPr>
          <w:rFonts w:hint="eastAsia"/>
        </w:rPr>
        <w:t>弱势道路使用者交互</w:t>
      </w:r>
    </w:p>
    <w:p w14:paraId="265BE052" w14:textId="77777777" w:rsidR="009B55B3" w:rsidRDefault="00CC309B">
      <w:pPr>
        <w:pStyle w:val="FirstParagraph"/>
      </w:pPr>
      <w:r>
        <w:rPr>
          <w:rFonts w:hint="eastAsia"/>
        </w:rPr>
        <w:t>弱势道路使用者交互可信度评估指标见表</w:t>
      </w:r>
      <w:r>
        <w:rPr>
          <w:rFonts w:hint="eastAsia"/>
        </w:rPr>
        <w:t>4</w:t>
      </w:r>
      <w:r>
        <w:rPr>
          <w:rFonts w:hint="eastAsia"/>
        </w:rPr>
        <w:t>。</w:t>
      </w:r>
    </w:p>
    <w:p w14:paraId="2DB9679B" w14:textId="77777777" w:rsidR="009B55B3" w:rsidRDefault="00CC309B">
      <w:pPr>
        <w:pStyle w:val="a0"/>
        <w:autoSpaceDE w:val="0"/>
        <w:autoSpaceDN w:val="0"/>
        <w:jc w:val="center"/>
      </w:pPr>
      <w:r>
        <w:rPr>
          <w:rFonts w:hint="eastAsia"/>
        </w:rPr>
        <w:t>表</w:t>
      </w:r>
      <w:r>
        <w:rPr>
          <w:rFonts w:hint="eastAsia"/>
        </w:rPr>
        <w:t>4</w:t>
      </w:r>
      <w:r>
        <w:t xml:space="preserve"> </w:t>
      </w:r>
      <w:r>
        <w:rPr>
          <w:rFonts w:hint="eastAsia"/>
        </w:rPr>
        <w:t>弱势道路使用者交互可信度评估指标</w:t>
      </w:r>
    </w:p>
    <w:tbl>
      <w:tblPr>
        <w:tblStyle w:val="Table"/>
        <w:tblW w:w="5000" w:type="pct"/>
        <w:jc w:val="center"/>
        <w:tblLook w:val="0020" w:firstRow="1" w:lastRow="0" w:firstColumn="0" w:lastColumn="0" w:noHBand="0" w:noVBand="0"/>
      </w:tblPr>
      <w:tblGrid>
        <w:gridCol w:w="990"/>
        <w:gridCol w:w="1335"/>
        <w:gridCol w:w="6295"/>
      </w:tblGrid>
      <w:tr w:rsidR="009B55B3" w14:paraId="4663E849" w14:textId="77777777" w:rsidTr="009B55B3">
        <w:trPr>
          <w:cnfStyle w:val="100000000000" w:firstRow="1" w:lastRow="0" w:firstColumn="0" w:lastColumn="0" w:oddVBand="0" w:evenVBand="0" w:oddHBand="0" w:evenHBand="0" w:firstRowFirstColumn="0" w:firstRowLastColumn="0" w:lastRowFirstColumn="0" w:lastRowLastColumn="0"/>
          <w:jc w:val="center"/>
        </w:trPr>
        <w:tc>
          <w:tcPr>
            <w:tcW w:w="0" w:type="auto"/>
            <w:vAlign w:val="center"/>
          </w:tcPr>
          <w:p w14:paraId="3CC87987" w14:textId="77777777" w:rsidR="009B55B3" w:rsidRDefault="00CC309B">
            <w:pPr>
              <w:pStyle w:val="Compact"/>
              <w:spacing w:line="240" w:lineRule="auto"/>
              <w:jc w:val="center"/>
            </w:pPr>
            <w:r>
              <w:rPr>
                <w:rFonts w:hint="eastAsia"/>
                <w:b/>
                <w:bCs/>
              </w:rPr>
              <w:t>评估维度</w:t>
            </w:r>
          </w:p>
        </w:tc>
        <w:tc>
          <w:tcPr>
            <w:tcW w:w="0" w:type="auto"/>
            <w:vAlign w:val="center"/>
          </w:tcPr>
          <w:p w14:paraId="71EB102C" w14:textId="77777777" w:rsidR="009B55B3" w:rsidRDefault="00CC309B">
            <w:pPr>
              <w:pStyle w:val="Compact"/>
              <w:spacing w:line="240" w:lineRule="auto"/>
              <w:jc w:val="center"/>
              <w:cnfStyle w:val="000000000000" w:firstRow="0" w:lastRow="0" w:firstColumn="0" w:lastColumn="0" w:oddVBand="0" w:evenVBand="0" w:oddHBand="0" w:evenHBand="0" w:firstRowFirstColumn="0" w:firstRowLastColumn="0" w:lastRowFirstColumn="0" w:lastRowLastColumn="0"/>
            </w:pPr>
            <w:r>
              <w:rPr>
                <w:rFonts w:hint="eastAsia"/>
                <w:b/>
                <w:bCs/>
              </w:rPr>
              <w:t>评估指标</w:t>
            </w:r>
          </w:p>
        </w:tc>
        <w:tc>
          <w:tcPr>
            <w:tcW w:w="0" w:type="auto"/>
            <w:vAlign w:val="center"/>
          </w:tcPr>
          <w:p w14:paraId="61D869E9" w14:textId="77777777" w:rsidR="009B55B3" w:rsidRDefault="00CC309B">
            <w:pPr>
              <w:pStyle w:val="Compact"/>
              <w:spacing w:line="240" w:lineRule="auto"/>
              <w:jc w:val="center"/>
              <w:cnfStyle w:val="000000000000" w:firstRow="0" w:lastRow="0" w:firstColumn="0" w:lastColumn="0" w:oddVBand="0" w:evenVBand="0" w:oddHBand="0" w:evenHBand="0" w:firstRowFirstColumn="0" w:firstRowLastColumn="0" w:lastRowFirstColumn="0" w:lastRowLastColumn="0"/>
            </w:pPr>
            <w:r>
              <w:rPr>
                <w:rFonts w:hint="eastAsia"/>
                <w:b/>
                <w:bCs/>
              </w:rPr>
              <w:t>指标说明与要求</w:t>
            </w:r>
          </w:p>
        </w:tc>
      </w:tr>
      <w:tr w:rsidR="009B55B3" w14:paraId="6E497207" w14:textId="77777777" w:rsidTr="009B55B3">
        <w:trPr>
          <w:jc w:val="center"/>
        </w:trPr>
        <w:tc>
          <w:tcPr>
            <w:tcW w:w="0" w:type="auto"/>
            <w:vAlign w:val="center"/>
          </w:tcPr>
          <w:p w14:paraId="01D30DCB" w14:textId="77777777" w:rsidR="009B55B3" w:rsidRDefault="00CC309B">
            <w:pPr>
              <w:pStyle w:val="Compact"/>
              <w:spacing w:line="240" w:lineRule="auto"/>
              <w:jc w:val="center"/>
            </w:pPr>
            <w:r>
              <w:rPr>
                <w:rFonts w:hint="eastAsia"/>
              </w:rPr>
              <w:t>人车冲突处理</w:t>
            </w:r>
          </w:p>
        </w:tc>
        <w:tc>
          <w:tcPr>
            <w:tcW w:w="0" w:type="auto"/>
            <w:vAlign w:val="center"/>
          </w:tcPr>
          <w:p w14:paraId="18C4CCFC" w14:textId="77777777" w:rsidR="009B55B3" w:rsidRDefault="00CC309B">
            <w:pPr>
              <w:pStyle w:val="Compact"/>
              <w:spacing w:line="240" w:lineRule="auto"/>
              <w:jc w:val="center"/>
            </w:pPr>
            <w:r>
              <w:rPr>
                <w:rFonts w:hint="eastAsia"/>
              </w:rPr>
              <w:t>礼让斑马线行为</w:t>
            </w:r>
          </w:p>
        </w:tc>
        <w:tc>
          <w:tcPr>
            <w:tcW w:w="0" w:type="auto"/>
            <w:vAlign w:val="center"/>
          </w:tcPr>
          <w:p w14:paraId="50F8A7C8" w14:textId="77777777" w:rsidR="009B55B3" w:rsidRDefault="00CC309B">
            <w:pPr>
              <w:pStyle w:val="Compact"/>
              <w:spacing w:line="240" w:lineRule="auto"/>
              <w:jc w:val="center"/>
            </w:pPr>
            <w:r>
              <w:rPr>
                <w:rFonts w:hint="eastAsia"/>
              </w:rPr>
              <w:t>车辆在斑马线前的礼让概率应可配置，行为模式可切换（如礼让、抢行），且礼让行为应伴随合理的减速或停车动作。</w:t>
            </w:r>
          </w:p>
        </w:tc>
      </w:tr>
      <w:tr w:rsidR="009B55B3" w14:paraId="0B578ED2" w14:textId="77777777" w:rsidTr="009B55B3">
        <w:trPr>
          <w:jc w:val="center"/>
        </w:trPr>
        <w:tc>
          <w:tcPr>
            <w:tcW w:w="0" w:type="auto"/>
            <w:vAlign w:val="center"/>
          </w:tcPr>
          <w:p w14:paraId="12A87699" w14:textId="77777777" w:rsidR="009B55B3" w:rsidRDefault="00CC309B">
            <w:pPr>
              <w:pStyle w:val="Compact"/>
              <w:spacing w:line="240" w:lineRule="auto"/>
              <w:jc w:val="center"/>
            </w:pPr>
            <w:r>
              <w:rPr>
                <w:rFonts w:hint="eastAsia"/>
              </w:rPr>
              <w:t>非机动车干扰</w:t>
            </w:r>
          </w:p>
        </w:tc>
        <w:tc>
          <w:tcPr>
            <w:tcW w:w="0" w:type="auto"/>
            <w:vAlign w:val="center"/>
          </w:tcPr>
          <w:p w14:paraId="63DA8F64" w14:textId="77777777" w:rsidR="009B55B3" w:rsidRDefault="00CC309B">
            <w:pPr>
              <w:pStyle w:val="Compact"/>
              <w:spacing w:line="240" w:lineRule="auto"/>
              <w:jc w:val="center"/>
            </w:pPr>
            <w:r>
              <w:rPr>
                <w:rFonts w:hint="eastAsia"/>
              </w:rPr>
              <w:t>借道超车与侵占</w:t>
            </w:r>
          </w:p>
        </w:tc>
        <w:tc>
          <w:tcPr>
            <w:tcW w:w="0" w:type="auto"/>
            <w:vAlign w:val="center"/>
          </w:tcPr>
          <w:p w14:paraId="52BBD7ED" w14:textId="77777777" w:rsidR="009B55B3" w:rsidRDefault="00CC309B">
            <w:pPr>
              <w:pStyle w:val="Compact"/>
              <w:spacing w:line="240" w:lineRule="auto"/>
              <w:jc w:val="center"/>
            </w:pPr>
            <w:r>
              <w:rPr>
                <w:rFonts w:hint="eastAsia"/>
              </w:rPr>
              <w:t>应支持混行道路（机动车与非机动车混行）的交互逻辑，能够模拟非机动车借机动车道超车、临时侵占机动车道等常见干扰行为，并体现行为突变。</w:t>
            </w:r>
          </w:p>
        </w:tc>
      </w:tr>
      <w:tr w:rsidR="009B55B3" w14:paraId="39DC4262" w14:textId="77777777" w:rsidTr="009B55B3">
        <w:trPr>
          <w:jc w:val="center"/>
        </w:trPr>
        <w:tc>
          <w:tcPr>
            <w:tcW w:w="0" w:type="auto"/>
            <w:vAlign w:val="center"/>
          </w:tcPr>
          <w:p w14:paraId="390EBB19" w14:textId="77777777" w:rsidR="009B55B3" w:rsidRDefault="00CC309B">
            <w:pPr>
              <w:pStyle w:val="Compact"/>
              <w:spacing w:line="240" w:lineRule="auto"/>
              <w:jc w:val="center"/>
            </w:pPr>
            <w:r>
              <w:rPr>
                <w:rFonts w:hint="eastAsia"/>
              </w:rPr>
              <w:t>行为异质性</w:t>
            </w:r>
          </w:p>
        </w:tc>
        <w:tc>
          <w:tcPr>
            <w:tcW w:w="0" w:type="auto"/>
            <w:vAlign w:val="center"/>
          </w:tcPr>
          <w:p w14:paraId="052C7964" w14:textId="77777777" w:rsidR="009B55B3" w:rsidRDefault="00CC309B">
            <w:pPr>
              <w:pStyle w:val="Compact"/>
              <w:spacing w:line="240" w:lineRule="auto"/>
              <w:jc w:val="center"/>
            </w:pPr>
            <w:r>
              <w:rPr>
                <w:rFonts w:hint="eastAsia"/>
              </w:rPr>
              <w:t>行人与骑行者类型分布</w:t>
            </w:r>
          </w:p>
        </w:tc>
        <w:tc>
          <w:tcPr>
            <w:tcW w:w="0" w:type="auto"/>
            <w:vAlign w:val="center"/>
          </w:tcPr>
          <w:p w14:paraId="16399380" w14:textId="77777777" w:rsidR="009B55B3" w:rsidRDefault="00CC309B">
            <w:pPr>
              <w:pStyle w:val="Compact"/>
              <w:spacing w:line="240" w:lineRule="auto"/>
              <w:jc w:val="center"/>
            </w:pPr>
            <w:r>
              <w:rPr>
                <w:rFonts w:hint="eastAsia"/>
              </w:rPr>
              <w:t>支持对行人与骑行者进行类型划分（如快速</w:t>
            </w:r>
            <w:r>
              <w:rPr>
                <w:rFonts w:hint="eastAsia"/>
              </w:rPr>
              <w:t>/</w:t>
            </w:r>
            <w:r>
              <w:rPr>
                <w:rFonts w:hint="eastAsia"/>
              </w:rPr>
              <w:t>慢速、谨慎</w:t>
            </w:r>
            <w:r>
              <w:rPr>
                <w:rFonts w:hint="eastAsia"/>
              </w:rPr>
              <w:t>/</w:t>
            </w:r>
            <w:r>
              <w:rPr>
                <w:rFonts w:hint="eastAsia"/>
              </w:rPr>
              <w:t>冒失），各类型比例可配置，以模拟真实世界中行为特征的多样性。</w:t>
            </w:r>
          </w:p>
        </w:tc>
      </w:tr>
    </w:tbl>
    <w:p w14:paraId="51EB7BDF" w14:textId="77777777" w:rsidR="009B55B3" w:rsidRDefault="00CC309B">
      <w:pPr>
        <w:pStyle w:val="3"/>
      </w:pPr>
      <w:bookmarkStart w:id="49" w:name="场景生成能力"/>
      <w:bookmarkEnd w:id="48"/>
      <w:r>
        <w:t xml:space="preserve">5.1.5 </w:t>
      </w:r>
      <w:r>
        <w:rPr>
          <w:rFonts w:hint="eastAsia"/>
        </w:rPr>
        <w:t>场景生成能力</w:t>
      </w:r>
    </w:p>
    <w:p w14:paraId="51FC04C9" w14:textId="77777777" w:rsidR="009B55B3" w:rsidRDefault="00CC309B">
      <w:pPr>
        <w:pStyle w:val="FirstParagraph"/>
      </w:pPr>
      <w:r>
        <w:rPr>
          <w:rFonts w:hint="eastAsia"/>
        </w:rPr>
        <w:t>场景生成能力可信度评估指标见表</w:t>
      </w:r>
      <w:r>
        <w:rPr>
          <w:rFonts w:hint="eastAsia"/>
        </w:rPr>
        <w:t>5</w:t>
      </w:r>
      <w:r>
        <w:rPr>
          <w:rFonts w:hint="eastAsia"/>
        </w:rPr>
        <w:t>。</w:t>
      </w:r>
    </w:p>
    <w:p w14:paraId="4C5066A4" w14:textId="77777777" w:rsidR="009B55B3" w:rsidRDefault="00CC309B">
      <w:pPr>
        <w:pStyle w:val="a0"/>
        <w:autoSpaceDE w:val="0"/>
        <w:autoSpaceDN w:val="0"/>
        <w:jc w:val="center"/>
      </w:pPr>
      <w:r>
        <w:rPr>
          <w:rFonts w:hint="eastAsia"/>
        </w:rPr>
        <w:t>表</w:t>
      </w:r>
      <w:r>
        <w:rPr>
          <w:rFonts w:hint="eastAsia"/>
        </w:rPr>
        <w:t>5</w:t>
      </w:r>
      <w:r>
        <w:t xml:space="preserve"> </w:t>
      </w:r>
      <w:r>
        <w:rPr>
          <w:rFonts w:hint="eastAsia"/>
        </w:rPr>
        <w:t>场景生成能力可信度评估指标</w:t>
      </w:r>
    </w:p>
    <w:tbl>
      <w:tblPr>
        <w:tblStyle w:val="Table"/>
        <w:tblW w:w="5000" w:type="pct"/>
        <w:jc w:val="center"/>
        <w:tblLook w:val="0020" w:firstRow="1" w:lastRow="0" w:firstColumn="0" w:lastColumn="0" w:noHBand="0" w:noVBand="0"/>
      </w:tblPr>
      <w:tblGrid>
        <w:gridCol w:w="1041"/>
        <w:gridCol w:w="7579"/>
      </w:tblGrid>
      <w:tr w:rsidR="009B55B3" w14:paraId="20613B12" w14:textId="77777777" w:rsidTr="009B55B3">
        <w:trPr>
          <w:cnfStyle w:val="100000000000" w:firstRow="1" w:lastRow="0" w:firstColumn="0" w:lastColumn="0" w:oddVBand="0" w:evenVBand="0" w:oddHBand="0" w:evenHBand="0" w:firstRowFirstColumn="0" w:firstRowLastColumn="0" w:lastRowFirstColumn="0" w:lastRowLastColumn="0"/>
          <w:jc w:val="center"/>
        </w:trPr>
        <w:tc>
          <w:tcPr>
            <w:tcW w:w="0" w:type="auto"/>
            <w:vAlign w:val="center"/>
          </w:tcPr>
          <w:p w14:paraId="437E7054" w14:textId="77777777" w:rsidR="009B55B3" w:rsidRDefault="00CC309B">
            <w:pPr>
              <w:pStyle w:val="Compact"/>
              <w:spacing w:line="240" w:lineRule="auto"/>
              <w:jc w:val="center"/>
            </w:pPr>
            <w:r>
              <w:rPr>
                <w:rFonts w:hint="eastAsia"/>
                <w:b/>
                <w:bCs/>
              </w:rPr>
              <w:t>评估指标</w:t>
            </w:r>
          </w:p>
        </w:tc>
        <w:tc>
          <w:tcPr>
            <w:tcW w:w="0" w:type="auto"/>
            <w:vAlign w:val="center"/>
          </w:tcPr>
          <w:p w14:paraId="64A81CAE" w14:textId="77777777" w:rsidR="009B55B3" w:rsidRDefault="00CC309B">
            <w:pPr>
              <w:pStyle w:val="Compact"/>
              <w:spacing w:line="240" w:lineRule="auto"/>
              <w:jc w:val="center"/>
              <w:cnfStyle w:val="000000000000" w:firstRow="0" w:lastRow="0" w:firstColumn="0" w:lastColumn="0" w:oddVBand="0" w:evenVBand="0" w:oddHBand="0" w:evenHBand="0" w:firstRowFirstColumn="0" w:firstRowLastColumn="0" w:lastRowFirstColumn="0" w:lastRowLastColumn="0"/>
            </w:pPr>
            <w:r>
              <w:rPr>
                <w:rFonts w:hint="eastAsia"/>
                <w:b/>
                <w:bCs/>
              </w:rPr>
              <w:t>指标说明与要求</w:t>
            </w:r>
          </w:p>
        </w:tc>
      </w:tr>
      <w:tr w:rsidR="009B55B3" w14:paraId="6EB21CE8" w14:textId="77777777" w:rsidTr="009B55B3">
        <w:trPr>
          <w:jc w:val="center"/>
        </w:trPr>
        <w:tc>
          <w:tcPr>
            <w:tcW w:w="0" w:type="auto"/>
            <w:vAlign w:val="center"/>
          </w:tcPr>
          <w:p w14:paraId="4D23DEAE" w14:textId="77777777" w:rsidR="009B55B3" w:rsidRDefault="00CC309B">
            <w:pPr>
              <w:pStyle w:val="Compact"/>
              <w:spacing w:line="240" w:lineRule="auto"/>
              <w:jc w:val="center"/>
            </w:pPr>
            <w:r>
              <w:rPr>
                <w:rFonts w:hint="eastAsia"/>
              </w:rPr>
              <w:lastRenderedPageBreak/>
              <w:t>常规场景覆盖</w:t>
            </w:r>
          </w:p>
        </w:tc>
        <w:tc>
          <w:tcPr>
            <w:tcW w:w="0" w:type="auto"/>
            <w:vAlign w:val="center"/>
          </w:tcPr>
          <w:p w14:paraId="74229B70" w14:textId="77777777" w:rsidR="009B55B3" w:rsidRDefault="00CC309B">
            <w:pPr>
              <w:pStyle w:val="Compact"/>
              <w:spacing w:line="240" w:lineRule="auto"/>
              <w:jc w:val="center"/>
            </w:pPr>
            <w:r>
              <w:rPr>
                <w:rFonts w:hint="eastAsia"/>
              </w:rPr>
              <w:t>典型场景复现率应能直接或通过参数配置复现行业标准或企业定义的典型场景库（如高速公路合流、城市交叉路口、夜间雨天等），覆盖率≥</w:t>
            </w:r>
            <w:r>
              <w:rPr>
                <w:rFonts w:hint="eastAsia"/>
              </w:rPr>
              <w:t>90%</w:t>
            </w:r>
            <w:r>
              <w:rPr>
                <w:rFonts w:hint="eastAsia"/>
              </w:rPr>
              <w:t>。</w:t>
            </w:r>
          </w:p>
        </w:tc>
      </w:tr>
      <w:tr w:rsidR="009B55B3" w14:paraId="3CC6844B" w14:textId="77777777" w:rsidTr="009B55B3">
        <w:trPr>
          <w:jc w:val="center"/>
        </w:trPr>
        <w:tc>
          <w:tcPr>
            <w:tcW w:w="0" w:type="auto"/>
            <w:vAlign w:val="center"/>
          </w:tcPr>
          <w:p w14:paraId="420BEEFC" w14:textId="77777777" w:rsidR="009B55B3" w:rsidRDefault="00CC309B">
            <w:pPr>
              <w:pStyle w:val="Compact"/>
              <w:spacing w:line="240" w:lineRule="auto"/>
              <w:jc w:val="center"/>
            </w:pPr>
            <w:r>
              <w:rPr>
                <w:rFonts w:hint="eastAsia"/>
              </w:rPr>
              <w:t>违规行为建模</w:t>
            </w:r>
          </w:p>
        </w:tc>
        <w:tc>
          <w:tcPr>
            <w:tcW w:w="0" w:type="auto"/>
            <w:vAlign w:val="center"/>
          </w:tcPr>
          <w:p w14:paraId="5EDC1961" w14:textId="77777777" w:rsidR="009B55B3" w:rsidRDefault="00CC309B">
            <w:pPr>
              <w:pStyle w:val="Compact"/>
              <w:spacing w:line="240" w:lineRule="auto"/>
              <w:jc w:val="center"/>
            </w:pPr>
            <w:r>
              <w:rPr>
                <w:rFonts w:hint="eastAsia"/>
              </w:rPr>
              <w:t>常见违规复现率应支持对常见交通违规行为（如压实线、超速、逆行、闯红灯）的参数化建模，并可生成包含此类行为的场景。</w:t>
            </w:r>
          </w:p>
        </w:tc>
      </w:tr>
      <w:tr w:rsidR="009B55B3" w14:paraId="15F0450B" w14:textId="77777777" w:rsidTr="009B55B3">
        <w:trPr>
          <w:jc w:val="center"/>
        </w:trPr>
        <w:tc>
          <w:tcPr>
            <w:tcW w:w="0" w:type="auto"/>
            <w:vAlign w:val="center"/>
          </w:tcPr>
          <w:p w14:paraId="26CDF3DC" w14:textId="77777777" w:rsidR="009B55B3" w:rsidRDefault="00CC309B">
            <w:pPr>
              <w:pStyle w:val="Compact"/>
              <w:spacing w:line="240" w:lineRule="auto"/>
              <w:jc w:val="center"/>
            </w:pPr>
            <w:r>
              <w:rPr>
                <w:rFonts w:hint="eastAsia"/>
              </w:rPr>
              <w:t>事故与险情</w:t>
            </w:r>
          </w:p>
        </w:tc>
        <w:tc>
          <w:tcPr>
            <w:tcW w:w="0" w:type="auto"/>
            <w:vAlign w:val="center"/>
          </w:tcPr>
          <w:p w14:paraId="461104C1" w14:textId="77777777" w:rsidR="009B55B3" w:rsidRDefault="00CC309B">
            <w:pPr>
              <w:pStyle w:val="Compact"/>
              <w:spacing w:line="240" w:lineRule="auto"/>
              <w:jc w:val="center"/>
            </w:pPr>
            <w:r>
              <w:rPr>
                <w:rFonts w:hint="eastAsia"/>
              </w:rPr>
              <w:t>险情生成密度应能生成不同危险等级的事件，其危险程度可通过碰撞时间（</w:t>
            </w:r>
            <w:r>
              <w:rPr>
                <w:rFonts w:hint="eastAsia"/>
              </w:rPr>
              <w:t>TTC</w:t>
            </w:r>
            <w:r>
              <w:rPr>
                <w:rFonts w:hint="eastAsia"/>
              </w:rPr>
              <w:t>）、后侵占时间（</w:t>
            </w:r>
            <w:r>
              <w:rPr>
                <w:rFonts w:hint="eastAsia"/>
              </w:rPr>
              <w:t>PET</w:t>
            </w:r>
            <w:r>
              <w:rPr>
                <w:rFonts w:hint="eastAsia"/>
              </w:rPr>
              <w:t>）等关键参数进行精确控制。</w:t>
            </w:r>
          </w:p>
        </w:tc>
      </w:tr>
      <w:tr w:rsidR="009B55B3" w14:paraId="0D5F5B61" w14:textId="77777777" w:rsidTr="009B55B3">
        <w:trPr>
          <w:jc w:val="center"/>
        </w:trPr>
        <w:tc>
          <w:tcPr>
            <w:tcW w:w="0" w:type="auto"/>
            <w:vAlign w:val="center"/>
          </w:tcPr>
          <w:p w14:paraId="3D95842C" w14:textId="77777777" w:rsidR="009B55B3" w:rsidRDefault="00CC309B">
            <w:pPr>
              <w:pStyle w:val="Compact"/>
              <w:spacing w:line="240" w:lineRule="auto"/>
              <w:jc w:val="center"/>
            </w:pPr>
            <w:r>
              <w:rPr>
                <w:rFonts w:hint="eastAsia"/>
              </w:rPr>
              <w:t>特殊环境行为</w:t>
            </w:r>
          </w:p>
        </w:tc>
        <w:tc>
          <w:tcPr>
            <w:tcW w:w="0" w:type="auto"/>
            <w:vAlign w:val="center"/>
          </w:tcPr>
          <w:p w14:paraId="2BFC6946" w14:textId="77777777" w:rsidR="009B55B3" w:rsidRDefault="00CC309B">
            <w:pPr>
              <w:pStyle w:val="Compact"/>
              <w:spacing w:line="240" w:lineRule="auto"/>
              <w:jc w:val="center"/>
            </w:pPr>
            <w:r>
              <w:rPr>
                <w:rFonts w:hint="eastAsia"/>
              </w:rPr>
              <w:t>行为环境适应性在天气、光照、隧道等特殊环境下，车辆及交通参与者的行为（如车速、车距、灯光使用）应合理，并能与传感器模型的性能衰减效应联动。</w:t>
            </w:r>
          </w:p>
        </w:tc>
      </w:tr>
    </w:tbl>
    <w:p w14:paraId="1E414D84" w14:textId="4D837429" w:rsidR="009B55B3" w:rsidRDefault="00CC309B">
      <w:pPr>
        <w:pStyle w:val="3"/>
      </w:pPr>
      <w:bookmarkStart w:id="50" w:name="感知系统仿真可信度"/>
      <w:bookmarkEnd w:id="49"/>
      <w:r>
        <w:t xml:space="preserve">5.2 </w:t>
      </w:r>
      <w:r>
        <w:rPr>
          <w:rFonts w:hint="eastAsia"/>
        </w:rPr>
        <w:t>感知系统仿真</w:t>
      </w:r>
    </w:p>
    <w:p w14:paraId="4A477A0C" w14:textId="77777777" w:rsidR="009B55B3" w:rsidRDefault="00CC309B">
      <w:pPr>
        <w:pStyle w:val="FirstParagraph"/>
      </w:pPr>
      <w:r>
        <w:rPr>
          <w:rFonts w:hint="eastAsia"/>
        </w:rPr>
        <w:t>感知系统仿真可信度评估指标见表</w:t>
      </w:r>
      <w:r>
        <w:rPr>
          <w:rFonts w:hint="eastAsia"/>
        </w:rPr>
        <w:t>6</w:t>
      </w:r>
      <w:r>
        <w:rPr>
          <w:rFonts w:hint="eastAsia"/>
        </w:rPr>
        <w:t>。</w:t>
      </w:r>
    </w:p>
    <w:p w14:paraId="332207EF" w14:textId="77777777" w:rsidR="009B55B3" w:rsidRDefault="00CC309B">
      <w:pPr>
        <w:pStyle w:val="a0"/>
        <w:autoSpaceDE w:val="0"/>
        <w:autoSpaceDN w:val="0"/>
        <w:jc w:val="center"/>
      </w:pPr>
      <w:r>
        <w:rPr>
          <w:rFonts w:hint="eastAsia"/>
        </w:rPr>
        <w:t>表</w:t>
      </w:r>
      <w:r>
        <w:rPr>
          <w:rFonts w:hint="eastAsia"/>
        </w:rPr>
        <w:t>6</w:t>
      </w:r>
      <w:r>
        <w:t xml:space="preserve"> </w:t>
      </w:r>
      <w:r>
        <w:rPr>
          <w:rFonts w:hint="eastAsia"/>
        </w:rPr>
        <w:t>感知系统仿真可信度评估指标</w:t>
      </w:r>
    </w:p>
    <w:tbl>
      <w:tblPr>
        <w:tblStyle w:val="Table"/>
        <w:tblW w:w="5000" w:type="pct"/>
        <w:jc w:val="center"/>
        <w:tblLook w:val="0020" w:firstRow="1" w:lastRow="0" w:firstColumn="0" w:lastColumn="0" w:noHBand="0" w:noVBand="0"/>
      </w:tblPr>
      <w:tblGrid>
        <w:gridCol w:w="1167"/>
        <w:gridCol w:w="898"/>
        <w:gridCol w:w="6555"/>
      </w:tblGrid>
      <w:tr w:rsidR="009B55B3" w14:paraId="61BD20D2" w14:textId="77777777" w:rsidTr="009B55B3">
        <w:trPr>
          <w:cnfStyle w:val="100000000000" w:firstRow="1" w:lastRow="0" w:firstColumn="0" w:lastColumn="0" w:oddVBand="0" w:evenVBand="0" w:oddHBand="0" w:evenHBand="0" w:firstRowFirstColumn="0" w:firstRowLastColumn="0" w:lastRowFirstColumn="0" w:lastRowLastColumn="0"/>
          <w:jc w:val="center"/>
        </w:trPr>
        <w:tc>
          <w:tcPr>
            <w:tcW w:w="0" w:type="auto"/>
            <w:vAlign w:val="center"/>
          </w:tcPr>
          <w:p w14:paraId="3B97330B" w14:textId="77777777" w:rsidR="009B55B3" w:rsidRDefault="00CC309B">
            <w:pPr>
              <w:pStyle w:val="Compact"/>
              <w:spacing w:line="240" w:lineRule="auto"/>
              <w:jc w:val="center"/>
            </w:pPr>
            <w:r>
              <w:rPr>
                <w:rFonts w:hint="eastAsia"/>
                <w:b/>
                <w:bCs/>
              </w:rPr>
              <w:t>评估维度</w:t>
            </w:r>
          </w:p>
        </w:tc>
        <w:tc>
          <w:tcPr>
            <w:tcW w:w="0" w:type="auto"/>
            <w:vAlign w:val="center"/>
          </w:tcPr>
          <w:p w14:paraId="328DF0F5" w14:textId="77777777" w:rsidR="009B55B3" w:rsidRDefault="00CC309B">
            <w:pPr>
              <w:pStyle w:val="Compact"/>
              <w:spacing w:line="240" w:lineRule="auto"/>
              <w:jc w:val="center"/>
              <w:cnfStyle w:val="000000000000" w:firstRow="0" w:lastRow="0" w:firstColumn="0" w:lastColumn="0" w:oddVBand="0" w:evenVBand="0" w:oddHBand="0" w:evenHBand="0" w:firstRowFirstColumn="0" w:firstRowLastColumn="0" w:lastRowFirstColumn="0" w:lastRowLastColumn="0"/>
            </w:pPr>
            <w:r>
              <w:rPr>
                <w:rFonts w:hint="eastAsia"/>
                <w:b/>
                <w:bCs/>
              </w:rPr>
              <w:t>评估指标</w:t>
            </w:r>
          </w:p>
        </w:tc>
        <w:tc>
          <w:tcPr>
            <w:tcW w:w="0" w:type="auto"/>
            <w:vAlign w:val="center"/>
          </w:tcPr>
          <w:p w14:paraId="0A61B72E" w14:textId="77777777" w:rsidR="009B55B3" w:rsidRDefault="00CC309B">
            <w:pPr>
              <w:pStyle w:val="Compact"/>
              <w:spacing w:line="240" w:lineRule="auto"/>
              <w:jc w:val="center"/>
              <w:cnfStyle w:val="000000000000" w:firstRow="0" w:lastRow="0" w:firstColumn="0" w:lastColumn="0" w:oddVBand="0" w:evenVBand="0" w:oddHBand="0" w:evenHBand="0" w:firstRowFirstColumn="0" w:firstRowLastColumn="0" w:lastRowFirstColumn="0" w:lastRowLastColumn="0"/>
            </w:pPr>
            <w:r>
              <w:rPr>
                <w:rFonts w:hint="eastAsia"/>
                <w:b/>
                <w:bCs/>
              </w:rPr>
              <w:t>指标说明与要求</w:t>
            </w:r>
          </w:p>
        </w:tc>
      </w:tr>
      <w:tr w:rsidR="009B55B3" w14:paraId="32C2660B" w14:textId="77777777" w:rsidTr="009B55B3">
        <w:trPr>
          <w:jc w:val="center"/>
        </w:trPr>
        <w:tc>
          <w:tcPr>
            <w:tcW w:w="0" w:type="auto"/>
            <w:vAlign w:val="center"/>
          </w:tcPr>
          <w:p w14:paraId="2FA11293" w14:textId="77777777" w:rsidR="009B55B3" w:rsidRDefault="00CC309B">
            <w:pPr>
              <w:pStyle w:val="Compact"/>
              <w:spacing w:line="240" w:lineRule="auto"/>
              <w:jc w:val="center"/>
            </w:pPr>
            <w:r>
              <w:rPr>
                <w:rFonts w:hint="eastAsia"/>
              </w:rPr>
              <w:t>摄像头模型</w:t>
            </w:r>
          </w:p>
        </w:tc>
        <w:tc>
          <w:tcPr>
            <w:tcW w:w="0" w:type="auto"/>
            <w:vAlign w:val="center"/>
          </w:tcPr>
          <w:p w14:paraId="515255A9" w14:textId="77777777" w:rsidR="009B55B3" w:rsidRDefault="00CC309B">
            <w:pPr>
              <w:pStyle w:val="Compact"/>
              <w:spacing w:line="240" w:lineRule="auto"/>
              <w:jc w:val="center"/>
            </w:pPr>
            <w:r>
              <w:rPr>
                <w:rFonts w:hint="eastAsia"/>
              </w:rPr>
              <w:t>图像质量指标</w:t>
            </w:r>
          </w:p>
        </w:tc>
        <w:tc>
          <w:tcPr>
            <w:tcW w:w="0" w:type="auto"/>
            <w:vAlign w:val="center"/>
          </w:tcPr>
          <w:p w14:paraId="5EAD2071" w14:textId="77777777" w:rsidR="009B55B3" w:rsidRDefault="00CC309B">
            <w:pPr>
              <w:pStyle w:val="Compact"/>
              <w:spacing w:line="240" w:lineRule="auto"/>
              <w:jc w:val="center"/>
            </w:pPr>
            <w:r>
              <w:rPr>
                <w:rFonts w:hint="eastAsia"/>
              </w:rPr>
              <w:t>在同一标准场景（如棋盘格、色彩卡）下，仿真输出图像与真实相机采集图像进行结构相似性指数（</w:t>
            </w:r>
            <w:r>
              <w:rPr>
                <w:rFonts w:hint="eastAsia"/>
              </w:rPr>
              <w:t>SSIM</w:t>
            </w:r>
            <w:r>
              <w:rPr>
                <w:rFonts w:hint="eastAsia"/>
              </w:rPr>
              <w:t>）对比，</w:t>
            </w:r>
            <w:r>
              <w:rPr>
                <w:rFonts w:hint="eastAsia"/>
              </w:rPr>
              <w:t>SSIM</w:t>
            </w:r>
            <w:r>
              <w:rPr>
                <w:rFonts w:hint="eastAsia"/>
              </w:rPr>
              <w:t>≥</w:t>
            </w:r>
            <w:r>
              <w:rPr>
                <w:rFonts w:hint="eastAsia"/>
              </w:rPr>
              <w:t>0.85</w:t>
            </w:r>
            <w:r>
              <w:rPr>
                <w:rFonts w:hint="eastAsia"/>
              </w:rPr>
              <w:t>。</w:t>
            </w:r>
            <w:r>
              <w:br/>
              <w:t xml:space="preserve">5 </w:t>
            </w:r>
            <w:r>
              <w:rPr>
                <w:rFonts w:hint="eastAsia"/>
              </w:rPr>
              <w:t>分：</w:t>
            </w:r>
            <w:r>
              <w:rPr>
                <w:rFonts w:hint="eastAsia"/>
              </w:rPr>
              <w:t>SSIM</w:t>
            </w:r>
            <w:r>
              <w:rPr>
                <w:rFonts w:hint="eastAsia"/>
              </w:rPr>
              <w:t>≥</w:t>
            </w:r>
            <w:r>
              <w:rPr>
                <w:rFonts w:hint="eastAsia"/>
              </w:rPr>
              <w:t>0.90</w:t>
            </w:r>
            <w:r>
              <w:br/>
              <w:t xml:space="preserve">4 </w:t>
            </w:r>
            <w:r>
              <w:rPr>
                <w:rFonts w:hint="eastAsia"/>
              </w:rPr>
              <w:t>分：</w:t>
            </w:r>
            <w:r>
              <w:rPr>
                <w:rFonts w:hint="eastAsia"/>
              </w:rPr>
              <w:t>0.85</w:t>
            </w:r>
            <w:r>
              <w:rPr>
                <w:rFonts w:hint="eastAsia"/>
              </w:rPr>
              <w:t>≤</w:t>
            </w:r>
            <w:r>
              <w:rPr>
                <w:rFonts w:hint="eastAsia"/>
              </w:rPr>
              <w:t>SSIM</w:t>
            </w:r>
            <w:r>
              <w:rPr>
                <w:rFonts w:hint="eastAsia"/>
              </w:rPr>
              <w:t>＜</w:t>
            </w:r>
            <w:r>
              <w:rPr>
                <w:rFonts w:hint="eastAsia"/>
              </w:rPr>
              <w:t>0.90</w:t>
            </w:r>
            <w:r>
              <w:br/>
              <w:t xml:space="preserve">3 </w:t>
            </w:r>
            <w:r>
              <w:rPr>
                <w:rFonts w:hint="eastAsia"/>
              </w:rPr>
              <w:t>分：</w:t>
            </w:r>
            <w:r>
              <w:rPr>
                <w:rFonts w:hint="eastAsia"/>
              </w:rPr>
              <w:t>0.80</w:t>
            </w:r>
            <w:r>
              <w:rPr>
                <w:rFonts w:hint="eastAsia"/>
              </w:rPr>
              <w:t>≤</w:t>
            </w:r>
            <w:r>
              <w:rPr>
                <w:rFonts w:hint="eastAsia"/>
              </w:rPr>
              <w:t>SSIM</w:t>
            </w:r>
            <w:r>
              <w:rPr>
                <w:rFonts w:hint="eastAsia"/>
              </w:rPr>
              <w:t>＜</w:t>
            </w:r>
            <w:r>
              <w:rPr>
                <w:rFonts w:hint="eastAsia"/>
              </w:rPr>
              <w:t>0.85</w:t>
            </w:r>
            <w:r>
              <w:br/>
              <w:t xml:space="preserve">2 </w:t>
            </w:r>
            <w:r>
              <w:rPr>
                <w:rFonts w:hint="eastAsia"/>
              </w:rPr>
              <w:t>分：</w:t>
            </w:r>
            <w:r>
              <w:rPr>
                <w:rFonts w:hint="eastAsia"/>
              </w:rPr>
              <w:t>0.70</w:t>
            </w:r>
            <w:r>
              <w:rPr>
                <w:rFonts w:hint="eastAsia"/>
              </w:rPr>
              <w:t>≤</w:t>
            </w:r>
            <w:r>
              <w:rPr>
                <w:rFonts w:hint="eastAsia"/>
              </w:rPr>
              <w:t>SSIM</w:t>
            </w:r>
            <w:r>
              <w:rPr>
                <w:rFonts w:hint="eastAsia"/>
              </w:rPr>
              <w:t>＜</w:t>
            </w:r>
            <w:r>
              <w:rPr>
                <w:rFonts w:hint="eastAsia"/>
              </w:rPr>
              <w:t>0.80</w:t>
            </w:r>
            <w:r>
              <w:br/>
              <w:t xml:space="preserve">1 </w:t>
            </w:r>
            <w:r>
              <w:rPr>
                <w:rFonts w:hint="eastAsia"/>
              </w:rPr>
              <w:t>分：</w:t>
            </w:r>
            <w:r>
              <w:rPr>
                <w:rFonts w:hint="eastAsia"/>
              </w:rPr>
              <w:t>SSIM</w:t>
            </w:r>
            <w:r>
              <w:rPr>
                <w:rFonts w:hint="eastAsia"/>
              </w:rPr>
              <w:t>＜</w:t>
            </w:r>
            <w:r>
              <w:rPr>
                <w:rFonts w:hint="eastAsia"/>
              </w:rPr>
              <w:t>0.70</w:t>
            </w:r>
          </w:p>
        </w:tc>
      </w:tr>
      <w:tr w:rsidR="009B55B3" w14:paraId="3BDFB4D1" w14:textId="77777777" w:rsidTr="009B55B3">
        <w:trPr>
          <w:jc w:val="center"/>
        </w:trPr>
        <w:tc>
          <w:tcPr>
            <w:tcW w:w="0" w:type="auto"/>
            <w:vAlign w:val="center"/>
          </w:tcPr>
          <w:p w14:paraId="66D1896A" w14:textId="77777777" w:rsidR="009B55B3" w:rsidRDefault="00CC309B">
            <w:pPr>
              <w:pStyle w:val="Compact"/>
              <w:spacing w:line="240" w:lineRule="auto"/>
              <w:jc w:val="center"/>
            </w:pPr>
            <w:r>
              <w:rPr>
                <w:rFonts w:hint="eastAsia"/>
              </w:rPr>
              <w:t>激光雷达模型</w:t>
            </w:r>
          </w:p>
        </w:tc>
        <w:tc>
          <w:tcPr>
            <w:tcW w:w="0" w:type="auto"/>
            <w:vAlign w:val="center"/>
          </w:tcPr>
          <w:p w14:paraId="0F91840C" w14:textId="77777777" w:rsidR="009B55B3" w:rsidRDefault="00CC309B">
            <w:pPr>
              <w:pStyle w:val="Compact"/>
              <w:spacing w:line="240" w:lineRule="auto"/>
              <w:jc w:val="center"/>
            </w:pPr>
            <w:r>
              <w:rPr>
                <w:rFonts w:hint="eastAsia"/>
              </w:rPr>
              <w:t>点云分布误差</w:t>
            </w:r>
          </w:p>
        </w:tc>
        <w:tc>
          <w:tcPr>
            <w:tcW w:w="0" w:type="auto"/>
            <w:vAlign w:val="center"/>
          </w:tcPr>
          <w:p w14:paraId="5C838059" w14:textId="77777777" w:rsidR="009B55B3" w:rsidRDefault="00CC309B">
            <w:pPr>
              <w:pStyle w:val="Compact"/>
              <w:spacing w:line="240" w:lineRule="auto"/>
              <w:jc w:val="center"/>
            </w:pPr>
            <w:r>
              <w:rPr>
                <w:rFonts w:hint="eastAsia"/>
              </w:rPr>
              <w:t>对标准目标（如平面、角反射器）进行仿真与实测对比，距离误差的均方根误差（</w:t>
            </w:r>
            <w:r>
              <w:rPr>
                <w:rFonts w:hint="eastAsia"/>
              </w:rPr>
              <w:t>RMSE</w:t>
            </w:r>
            <w:r>
              <w:rPr>
                <w:rFonts w:hint="eastAsia"/>
              </w:rPr>
              <w:t>）应不大于</w:t>
            </w:r>
            <w:r>
              <w:t xml:space="preserve"> 5 </w:t>
            </w:r>
            <w:r>
              <w:rPr>
                <w:rFonts w:hint="eastAsia"/>
              </w:rPr>
              <w:t>cm</w:t>
            </w:r>
            <w:r>
              <w:rPr>
                <w:rFonts w:hint="eastAsia"/>
              </w:rPr>
              <w:t>，并评价反射强度相对误差。</w:t>
            </w:r>
            <w:r>
              <w:br/>
            </w:r>
            <w:r>
              <w:rPr>
                <w:rFonts w:hint="eastAsia"/>
              </w:rPr>
              <w:t>（</w:t>
            </w:r>
            <w:r>
              <w:rPr>
                <w:rFonts w:hint="eastAsia"/>
              </w:rPr>
              <w:t>1</w:t>
            </w:r>
            <w:r>
              <w:rPr>
                <w:rFonts w:hint="eastAsia"/>
              </w:rPr>
              <w:t>）距离误差的均方根误差（</w:t>
            </w:r>
            <w:r>
              <w:rPr>
                <w:rFonts w:hint="eastAsia"/>
              </w:rPr>
              <w:t>RMSE</w:t>
            </w:r>
            <w:r>
              <w:rPr>
                <w:rFonts w:hint="eastAsia"/>
              </w:rPr>
              <w:t>）</w:t>
            </w:r>
            <w:r>
              <w:br/>
              <w:t xml:space="preserve">5 </w:t>
            </w:r>
            <w:r>
              <w:rPr>
                <w:rFonts w:hint="eastAsia"/>
              </w:rPr>
              <w:t>分：</w:t>
            </w:r>
            <w:r>
              <w:rPr>
                <w:rFonts w:hint="eastAsia"/>
              </w:rPr>
              <w:t>RMSE</w:t>
            </w:r>
            <w:r>
              <w:rPr>
                <w:rFonts w:hint="eastAsia"/>
              </w:rPr>
              <w:t>≤</w:t>
            </w:r>
            <w:r>
              <w:rPr>
                <w:rFonts w:hint="eastAsia"/>
              </w:rPr>
              <w:t>3</w:t>
            </w:r>
            <w:r>
              <w:t xml:space="preserve"> cm</w:t>
            </w:r>
            <w:r>
              <w:br/>
              <w:t xml:space="preserve">4 </w:t>
            </w:r>
            <w:r>
              <w:rPr>
                <w:rFonts w:hint="eastAsia"/>
              </w:rPr>
              <w:t>分：</w:t>
            </w:r>
            <w:r>
              <w:rPr>
                <w:rFonts w:hint="eastAsia"/>
              </w:rPr>
              <w:t>3</w:t>
            </w:r>
            <w:r>
              <w:t xml:space="preserve"> </w:t>
            </w:r>
            <w:r>
              <w:rPr>
                <w:rFonts w:hint="eastAsia"/>
              </w:rPr>
              <w:t>cm</w:t>
            </w:r>
            <w:r>
              <w:rPr>
                <w:rFonts w:hint="eastAsia"/>
              </w:rPr>
              <w:t>＜</w:t>
            </w:r>
            <w:r>
              <w:rPr>
                <w:rFonts w:hint="eastAsia"/>
              </w:rPr>
              <w:t>RMSE</w:t>
            </w:r>
            <w:r>
              <w:rPr>
                <w:rFonts w:hint="eastAsia"/>
              </w:rPr>
              <w:t>≤</w:t>
            </w:r>
            <w:r>
              <w:rPr>
                <w:rFonts w:hint="eastAsia"/>
              </w:rPr>
              <w:t>5</w:t>
            </w:r>
            <w:r>
              <w:t xml:space="preserve"> cm</w:t>
            </w:r>
            <w:r>
              <w:br/>
              <w:t xml:space="preserve">3 </w:t>
            </w:r>
            <w:r>
              <w:rPr>
                <w:rFonts w:hint="eastAsia"/>
              </w:rPr>
              <w:t>分：</w:t>
            </w:r>
            <w:r>
              <w:rPr>
                <w:rFonts w:hint="eastAsia"/>
              </w:rPr>
              <w:t>5</w:t>
            </w:r>
            <w:r>
              <w:t xml:space="preserve"> </w:t>
            </w:r>
            <w:r>
              <w:rPr>
                <w:rFonts w:hint="eastAsia"/>
              </w:rPr>
              <w:t>cm</w:t>
            </w:r>
            <w:r>
              <w:rPr>
                <w:rFonts w:hint="eastAsia"/>
              </w:rPr>
              <w:t>＜</w:t>
            </w:r>
            <w:r>
              <w:rPr>
                <w:rFonts w:hint="eastAsia"/>
              </w:rPr>
              <w:t>RMSE</w:t>
            </w:r>
            <w:r>
              <w:rPr>
                <w:rFonts w:hint="eastAsia"/>
              </w:rPr>
              <w:t>≤</w:t>
            </w:r>
            <w:r>
              <w:rPr>
                <w:rFonts w:hint="eastAsia"/>
              </w:rPr>
              <w:t>7</w:t>
            </w:r>
            <w:r>
              <w:t xml:space="preserve"> cm</w:t>
            </w:r>
            <w:r>
              <w:br/>
              <w:t xml:space="preserve">2 </w:t>
            </w:r>
            <w:r>
              <w:rPr>
                <w:rFonts w:hint="eastAsia"/>
              </w:rPr>
              <w:t>分：</w:t>
            </w:r>
            <w:r>
              <w:rPr>
                <w:rFonts w:hint="eastAsia"/>
              </w:rPr>
              <w:t>7</w:t>
            </w:r>
            <w:r>
              <w:t xml:space="preserve"> </w:t>
            </w:r>
            <w:r>
              <w:rPr>
                <w:rFonts w:hint="eastAsia"/>
              </w:rPr>
              <w:t>cm</w:t>
            </w:r>
            <w:r>
              <w:rPr>
                <w:rFonts w:hint="eastAsia"/>
              </w:rPr>
              <w:t>＜</w:t>
            </w:r>
            <w:r>
              <w:rPr>
                <w:rFonts w:hint="eastAsia"/>
              </w:rPr>
              <w:t>RMSE</w:t>
            </w:r>
            <w:r>
              <w:rPr>
                <w:rFonts w:hint="eastAsia"/>
              </w:rPr>
              <w:t>≤</w:t>
            </w:r>
            <w:r>
              <w:rPr>
                <w:rFonts w:hint="eastAsia"/>
              </w:rPr>
              <w:t>10</w:t>
            </w:r>
            <w:r>
              <w:t xml:space="preserve"> cm</w:t>
            </w:r>
            <w:r>
              <w:br/>
              <w:t xml:space="preserve">1 </w:t>
            </w:r>
            <w:r>
              <w:rPr>
                <w:rFonts w:hint="eastAsia"/>
              </w:rPr>
              <w:t>分：</w:t>
            </w:r>
            <w:r>
              <w:rPr>
                <w:rFonts w:hint="eastAsia"/>
              </w:rPr>
              <w:t>RMSE</w:t>
            </w:r>
            <w:r>
              <w:rPr>
                <w:rFonts w:hint="eastAsia"/>
              </w:rPr>
              <w:t>＞</w:t>
            </w:r>
            <w:r>
              <w:rPr>
                <w:rFonts w:hint="eastAsia"/>
              </w:rPr>
              <w:t>10</w:t>
            </w:r>
            <w:r>
              <w:t xml:space="preserve"> cm</w:t>
            </w:r>
            <w:r>
              <w:br/>
            </w:r>
            <w:r>
              <w:rPr>
                <w:rFonts w:hint="eastAsia"/>
              </w:rPr>
              <w:t>（</w:t>
            </w:r>
            <w:r>
              <w:rPr>
                <w:rFonts w:hint="eastAsia"/>
              </w:rPr>
              <w:t>2</w:t>
            </w:r>
            <w:r>
              <w:rPr>
                <w:rFonts w:hint="eastAsia"/>
              </w:rPr>
              <w:t>）反射强度相对误差</w:t>
            </w:r>
            <w:r>
              <w:br/>
            </w:r>
            <w:r>
              <w:lastRenderedPageBreak/>
              <w:t xml:space="preserve">5 </w:t>
            </w:r>
            <w:r>
              <w:rPr>
                <w:rFonts w:hint="eastAsia"/>
              </w:rPr>
              <w:t>分：误差≤</w:t>
            </w:r>
            <w:r>
              <w:rPr>
                <w:rFonts w:hint="eastAsia"/>
              </w:rPr>
              <w:t>6%</w:t>
            </w:r>
            <w:r>
              <w:br/>
              <w:t xml:space="preserve">4 </w:t>
            </w:r>
            <w:r>
              <w:rPr>
                <w:rFonts w:hint="eastAsia"/>
              </w:rPr>
              <w:t>分：</w:t>
            </w:r>
            <w:r>
              <w:rPr>
                <w:rFonts w:hint="eastAsia"/>
              </w:rPr>
              <w:t>6%</w:t>
            </w:r>
            <w:r>
              <w:rPr>
                <w:rFonts w:hint="eastAsia"/>
              </w:rPr>
              <w:t>≤误差≤</w:t>
            </w:r>
            <w:r>
              <w:rPr>
                <w:rFonts w:hint="eastAsia"/>
              </w:rPr>
              <w:t>10%</w:t>
            </w:r>
            <w:r>
              <w:br/>
              <w:t xml:space="preserve">3 </w:t>
            </w:r>
            <w:r>
              <w:rPr>
                <w:rFonts w:hint="eastAsia"/>
              </w:rPr>
              <w:t>分：</w:t>
            </w:r>
            <w:r>
              <w:rPr>
                <w:rFonts w:hint="eastAsia"/>
              </w:rPr>
              <w:t>10%</w:t>
            </w:r>
            <w:r>
              <w:rPr>
                <w:rFonts w:hint="eastAsia"/>
              </w:rPr>
              <w:t>≤误差≤</w:t>
            </w:r>
            <w:r>
              <w:rPr>
                <w:rFonts w:hint="eastAsia"/>
              </w:rPr>
              <w:t>15%</w:t>
            </w:r>
            <w:r>
              <w:br/>
              <w:t xml:space="preserve">2 </w:t>
            </w:r>
            <w:r>
              <w:rPr>
                <w:rFonts w:hint="eastAsia"/>
              </w:rPr>
              <w:t>分：</w:t>
            </w:r>
            <w:r>
              <w:rPr>
                <w:rFonts w:hint="eastAsia"/>
              </w:rPr>
              <w:t>15%</w:t>
            </w:r>
            <w:r>
              <w:rPr>
                <w:rFonts w:hint="eastAsia"/>
              </w:rPr>
              <w:t>≤误差≤</w:t>
            </w:r>
            <w:r>
              <w:rPr>
                <w:rFonts w:hint="eastAsia"/>
              </w:rPr>
              <w:t>20%</w:t>
            </w:r>
            <w:r>
              <w:br/>
              <w:t xml:space="preserve">1 </w:t>
            </w:r>
            <w:r>
              <w:rPr>
                <w:rFonts w:hint="eastAsia"/>
              </w:rPr>
              <w:t>分：误差＞</w:t>
            </w:r>
            <w:r>
              <w:rPr>
                <w:rFonts w:hint="eastAsia"/>
              </w:rPr>
              <w:t>20%</w:t>
            </w:r>
          </w:p>
        </w:tc>
      </w:tr>
      <w:tr w:rsidR="009B55B3" w14:paraId="5848FFA5" w14:textId="77777777" w:rsidTr="009B55B3">
        <w:trPr>
          <w:jc w:val="center"/>
        </w:trPr>
        <w:tc>
          <w:tcPr>
            <w:tcW w:w="0" w:type="auto"/>
            <w:vAlign w:val="center"/>
          </w:tcPr>
          <w:p w14:paraId="102891A4" w14:textId="77777777" w:rsidR="009B55B3" w:rsidRDefault="00CC309B">
            <w:pPr>
              <w:pStyle w:val="Compact"/>
              <w:spacing w:line="240" w:lineRule="auto"/>
              <w:jc w:val="center"/>
            </w:pPr>
            <w:r>
              <w:rPr>
                <w:rFonts w:hint="eastAsia"/>
              </w:rPr>
              <w:lastRenderedPageBreak/>
              <w:t>毫米波雷达模型</w:t>
            </w:r>
          </w:p>
        </w:tc>
        <w:tc>
          <w:tcPr>
            <w:tcW w:w="0" w:type="auto"/>
            <w:vAlign w:val="center"/>
          </w:tcPr>
          <w:p w14:paraId="7F6800A3" w14:textId="77777777" w:rsidR="009B55B3" w:rsidRDefault="00CC309B">
            <w:pPr>
              <w:pStyle w:val="Compact"/>
              <w:spacing w:line="240" w:lineRule="auto"/>
              <w:jc w:val="center"/>
            </w:pPr>
            <w:r>
              <w:rPr>
                <w:rFonts w:hint="eastAsia"/>
              </w:rPr>
              <w:t>目标检测误差</w:t>
            </w:r>
          </w:p>
        </w:tc>
        <w:tc>
          <w:tcPr>
            <w:tcW w:w="0" w:type="auto"/>
            <w:vAlign w:val="center"/>
          </w:tcPr>
          <w:p w14:paraId="53ED7908" w14:textId="77777777" w:rsidR="009B55B3" w:rsidRDefault="00CC309B">
            <w:pPr>
              <w:pStyle w:val="Compact"/>
              <w:spacing w:line="240" w:lineRule="auto"/>
              <w:jc w:val="center"/>
            </w:pPr>
            <w:r>
              <w:rPr>
                <w:rFonts w:hint="eastAsia"/>
              </w:rPr>
              <w:t>对标准目标进行仿真与实测对比，距离误差≤</w:t>
            </w:r>
            <w:r>
              <w:rPr>
                <w:rFonts w:hint="eastAsia"/>
              </w:rPr>
              <w:t>0.2</w:t>
            </w:r>
            <w:r>
              <w:t xml:space="preserve"> </w:t>
            </w:r>
            <w:r>
              <w:rPr>
                <w:rFonts w:hint="eastAsia"/>
              </w:rPr>
              <w:t>m</w:t>
            </w:r>
            <w:r>
              <w:rPr>
                <w:rFonts w:hint="eastAsia"/>
              </w:rPr>
              <w:t>，速度误差≤</w:t>
            </w:r>
            <w:r>
              <w:rPr>
                <w:rFonts w:hint="eastAsia"/>
              </w:rPr>
              <w:t>0.2</w:t>
            </w:r>
            <w:r>
              <w:t xml:space="preserve"> </w:t>
            </w:r>
            <w:r>
              <w:rPr>
                <w:rFonts w:hint="eastAsia"/>
              </w:rPr>
              <w:t>m/s</w:t>
            </w:r>
            <w:r>
              <w:rPr>
                <w:rFonts w:hint="eastAsia"/>
              </w:rPr>
              <w:t>，在无干扰条件下的虚警率≤</w:t>
            </w:r>
            <w:r>
              <w:rPr>
                <w:rFonts w:hint="eastAsia"/>
              </w:rPr>
              <w:t>5%</w:t>
            </w:r>
            <w:r>
              <w:rPr>
                <w:rFonts w:hint="eastAsia"/>
              </w:rPr>
              <w:t>。</w:t>
            </w:r>
            <w:r>
              <w:br/>
            </w:r>
            <w:r>
              <w:rPr>
                <w:rFonts w:hint="eastAsia"/>
              </w:rPr>
              <w:t>（</w:t>
            </w:r>
            <w:r>
              <w:rPr>
                <w:rFonts w:hint="eastAsia"/>
              </w:rPr>
              <w:t>1</w:t>
            </w:r>
            <w:r>
              <w:rPr>
                <w:rFonts w:hint="eastAsia"/>
              </w:rPr>
              <w:t>）距离误差</w:t>
            </w:r>
            <w:r>
              <w:br/>
              <w:t xml:space="preserve">5 </w:t>
            </w:r>
            <w:r>
              <w:rPr>
                <w:rFonts w:hint="eastAsia"/>
              </w:rPr>
              <w:t>分：≤</w:t>
            </w:r>
            <w:r>
              <w:rPr>
                <w:rFonts w:hint="eastAsia"/>
              </w:rPr>
              <w:t>0.10</w:t>
            </w:r>
            <w:r>
              <w:t xml:space="preserve"> m</w:t>
            </w:r>
            <w:r>
              <w:br/>
              <w:t xml:space="preserve">4 </w:t>
            </w:r>
            <w:r>
              <w:rPr>
                <w:rFonts w:hint="eastAsia"/>
              </w:rPr>
              <w:t>分：</w:t>
            </w:r>
            <w:r>
              <w:rPr>
                <w:rFonts w:hint="eastAsia"/>
              </w:rPr>
              <w:t>0.10</w:t>
            </w:r>
            <w:r>
              <w:t xml:space="preserve"> </w:t>
            </w:r>
            <w:r>
              <w:rPr>
                <w:rFonts w:hint="eastAsia"/>
              </w:rPr>
              <w:t>m</w:t>
            </w:r>
            <w:r>
              <w:rPr>
                <w:rFonts w:hint="eastAsia"/>
              </w:rPr>
              <w:t>≤误差≤</w:t>
            </w:r>
            <w:r>
              <w:rPr>
                <w:rFonts w:hint="eastAsia"/>
              </w:rPr>
              <w:t>0.20</w:t>
            </w:r>
            <w:r>
              <w:t xml:space="preserve"> m</w:t>
            </w:r>
            <w:r>
              <w:br/>
              <w:t xml:space="preserve">3 </w:t>
            </w:r>
            <w:r>
              <w:rPr>
                <w:rFonts w:hint="eastAsia"/>
              </w:rPr>
              <w:t>分：</w:t>
            </w:r>
            <w:r>
              <w:rPr>
                <w:rFonts w:hint="eastAsia"/>
              </w:rPr>
              <w:t>0.20</w:t>
            </w:r>
            <w:r>
              <w:t xml:space="preserve"> </w:t>
            </w:r>
            <w:r>
              <w:rPr>
                <w:rFonts w:hint="eastAsia"/>
              </w:rPr>
              <w:t>m</w:t>
            </w:r>
            <w:r>
              <w:rPr>
                <w:rFonts w:hint="eastAsia"/>
              </w:rPr>
              <w:t>≤误差≤</w:t>
            </w:r>
            <w:r>
              <w:rPr>
                <w:rFonts w:hint="eastAsia"/>
              </w:rPr>
              <w:t>0.30</w:t>
            </w:r>
            <w:r>
              <w:t xml:space="preserve"> m</w:t>
            </w:r>
            <w:r>
              <w:br/>
              <w:t xml:space="preserve">2 </w:t>
            </w:r>
            <w:r>
              <w:rPr>
                <w:rFonts w:hint="eastAsia"/>
              </w:rPr>
              <w:t>分：</w:t>
            </w:r>
            <w:r>
              <w:rPr>
                <w:rFonts w:hint="eastAsia"/>
              </w:rPr>
              <w:t>0.30</w:t>
            </w:r>
            <w:r>
              <w:t xml:space="preserve"> </w:t>
            </w:r>
            <w:r>
              <w:rPr>
                <w:rFonts w:hint="eastAsia"/>
              </w:rPr>
              <w:t>m</w:t>
            </w:r>
            <w:r>
              <w:rPr>
                <w:rFonts w:hint="eastAsia"/>
              </w:rPr>
              <w:t>≤误差≤</w:t>
            </w:r>
            <w:r>
              <w:rPr>
                <w:rFonts w:hint="eastAsia"/>
              </w:rPr>
              <w:t>0.50</w:t>
            </w:r>
            <w:r>
              <w:t xml:space="preserve"> m</w:t>
            </w:r>
            <w:r>
              <w:br/>
              <w:t xml:space="preserve">1 </w:t>
            </w:r>
            <w:r>
              <w:rPr>
                <w:rFonts w:hint="eastAsia"/>
              </w:rPr>
              <w:t>分：＞</w:t>
            </w:r>
            <w:r>
              <w:rPr>
                <w:rFonts w:hint="eastAsia"/>
              </w:rPr>
              <w:t>0.50</w:t>
            </w:r>
            <w:r>
              <w:t xml:space="preserve"> m</w:t>
            </w:r>
            <w:r>
              <w:br/>
            </w:r>
            <w:r>
              <w:rPr>
                <w:rFonts w:hint="eastAsia"/>
              </w:rPr>
              <w:t>（</w:t>
            </w:r>
            <w:r>
              <w:rPr>
                <w:rFonts w:hint="eastAsia"/>
              </w:rPr>
              <w:t>2</w:t>
            </w:r>
            <w:r>
              <w:rPr>
                <w:rFonts w:hint="eastAsia"/>
              </w:rPr>
              <w:t>）速度误差</w:t>
            </w:r>
            <w:r>
              <w:br/>
              <w:t xml:space="preserve">5 </w:t>
            </w:r>
            <w:r>
              <w:rPr>
                <w:rFonts w:hint="eastAsia"/>
              </w:rPr>
              <w:t>分：≤</w:t>
            </w:r>
            <w:r>
              <w:rPr>
                <w:rFonts w:hint="eastAsia"/>
              </w:rPr>
              <w:t>0.10</w:t>
            </w:r>
            <w:r>
              <w:t xml:space="preserve"> m/s</w:t>
            </w:r>
            <w:r>
              <w:br/>
              <w:t xml:space="preserve">4 </w:t>
            </w:r>
            <w:r>
              <w:rPr>
                <w:rFonts w:hint="eastAsia"/>
              </w:rPr>
              <w:t>分：</w:t>
            </w:r>
            <w:r>
              <w:rPr>
                <w:rFonts w:hint="eastAsia"/>
              </w:rPr>
              <w:t>0.10</w:t>
            </w:r>
            <w:r>
              <w:t xml:space="preserve"> </w:t>
            </w:r>
            <w:r>
              <w:rPr>
                <w:rFonts w:hint="eastAsia"/>
              </w:rPr>
              <w:t>m/s</w:t>
            </w:r>
            <w:r>
              <w:rPr>
                <w:rFonts w:hint="eastAsia"/>
              </w:rPr>
              <w:t>≤误差≤</w:t>
            </w:r>
            <w:r>
              <w:rPr>
                <w:rFonts w:hint="eastAsia"/>
              </w:rPr>
              <w:t>0.20</w:t>
            </w:r>
            <w:r>
              <w:t xml:space="preserve"> m/s</w:t>
            </w:r>
            <w:r>
              <w:br/>
              <w:t xml:space="preserve">3 </w:t>
            </w:r>
            <w:r>
              <w:rPr>
                <w:rFonts w:hint="eastAsia"/>
              </w:rPr>
              <w:t>分：</w:t>
            </w:r>
            <w:r>
              <w:rPr>
                <w:rFonts w:hint="eastAsia"/>
              </w:rPr>
              <w:t>0.20</w:t>
            </w:r>
            <w:r>
              <w:t xml:space="preserve"> </w:t>
            </w:r>
            <w:r>
              <w:rPr>
                <w:rFonts w:hint="eastAsia"/>
              </w:rPr>
              <w:t>m/s</w:t>
            </w:r>
            <w:r>
              <w:rPr>
                <w:rFonts w:hint="eastAsia"/>
              </w:rPr>
              <w:t>≤误差≤</w:t>
            </w:r>
            <w:r>
              <w:rPr>
                <w:rFonts w:hint="eastAsia"/>
              </w:rPr>
              <w:t>0.30</w:t>
            </w:r>
            <w:r>
              <w:t xml:space="preserve"> m/s</w:t>
            </w:r>
            <w:r>
              <w:br/>
              <w:t xml:space="preserve">2 </w:t>
            </w:r>
            <w:r>
              <w:rPr>
                <w:rFonts w:hint="eastAsia"/>
              </w:rPr>
              <w:t>分：</w:t>
            </w:r>
            <w:r>
              <w:rPr>
                <w:rFonts w:hint="eastAsia"/>
              </w:rPr>
              <w:t>0.30</w:t>
            </w:r>
            <w:r>
              <w:t xml:space="preserve"> </w:t>
            </w:r>
            <w:r>
              <w:rPr>
                <w:rFonts w:hint="eastAsia"/>
              </w:rPr>
              <w:t>m/s</w:t>
            </w:r>
            <w:r>
              <w:rPr>
                <w:rFonts w:hint="eastAsia"/>
              </w:rPr>
              <w:t>≤误差≤</w:t>
            </w:r>
            <w:r>
              <w:rPr>
                <w:rFonts w:hint="eastAsia"/>
              </w:rPr>
              <w:t>0.50</w:t>
            </w:r>
            <w:r>
              <w:t xml:space="preserve"> m/s</w:t>
            </w:r>
            <w:r>
              <w:br/>
              <w:t xml:space="preserve">1 </w:t>
            </w:r>
            <w:r>
              <w:rPr>
                <w:rFonts w:hint="eastAsia"/>
              </w:rPr>
              <w:t>分：＞</w:t>
            </w:r>
            <w:r>
              <w:rPr>
                <w:rFonts w:hint="eastAsia"/>
              </w:rPr>
              <w:t>0.50</w:t>
            </w:r>
            <w:r>
              <w:t xml:space="preserve"> m/s</w:t>
            </w:r>
            <w:r>
              <w:br/>
            </w:r>
            <w:r>
              <w:rPr>
                <w:rFonts w:hint="eastAsia"/>
              </w:rPr>
              <w:t>（</w:t>
            </w:r>
            <w:r>
              <w:rPr>
                <w:rFonts w:hint="eastAsia"/>
              </w:rPr>
              <w:t>3</w:t>
            </w:r>
            <w:r>
              <w:rPr>
                <w:rFonts w:hint="eastAsia"/>
              </w:rPr>
              <w:t>）无干扰虚警率</w:t>
            </w:r>
            <w:r>
              <w:br/>
              <w:t xml:space="preserve">5 </w:t>
            </w:r>
            <w:r>
              <w:rPr>
                <w:rFonts w:hint="eastAsia"/>
              </w:rPr>
              <w:t>分：虚警率≤</w:t>
            </w:r>
            <w:r>
              <w:rPr>
                <w:rFonts w:hint="eastAsia"/>
              </w:rPr>
              <w:t>2%</w:t>
            </w:r>
            <w:r>
              <w:br/>
              <w:t xml:space="preserve">4 </w:t>
            </w:r>
            <w:r>
              <w:rPr>
                <w:rFonts w:hint="eastAsia"/>
              </w:rPr>
              <w:t>分：</w:t>
            </w:r>
            <w:r>
              <w:rPr>
                <w:rFonts w:hint="eastAsia"/>
              </w:rPr>
              <w:t>2%</w:t>
            </w:r>
            <w:r>
              <w:rPr>
                <w:rFonts w:hint="eastAsia"/>
              </w:rPr>
              <w:t>≤虚警率≤</w:t>
            </w:r>
            <w:r>
              <w:rPr>
                <w:rFonts w:hint="eastAsia"/>
              </w:rPr>
              <w:t>5%</w:t>
            </w:r>
            <w:r>
              <w:br/>
              <w:t xml:space="preserve">3 </w:t>
            </w:r>
            <w:r>
              <w:rPr>
                <w:rFonts w:hint="eastAsia"/>
              </w:rPr>
              <w:t>分：</w:t>
            </w:r>
            <w:r>
              <w:rPr>
                <w:rFonts w:hint="eastAsia"/>
              </w:rPr>
              <w:t>5%</w:t>
            </w:r>
            <w:r>
              <w:rPr>
                <w:rFonts w:hint="eastAsia"/>
              </w:rPr>
              <w:t>≤虚警率≤</w:t>
            </w:r>
            <w:r>
              <w:rPr>
                <w:rFonts w:hint="eastAsia"/>
              </w:rPr>
              <w:t>8%</w:t>
            </w:r>
            <w:r>
              <w:br/>
              <w:t xml:space="preserve">2 </w:t>
            </w:r>
            <w:r>
              <w:rPr>
                <w:rFonts w:hint="eastAsia"/>
              </w:rPr>
              <w:t>分：</w:t>
            </w:r>
            <w:r>
              <w:rPr>
                <w:rFonts w:hint="eastAsia"/>
              </w:rPr>
              <w:t>8%</w:t>
            </w:r>
            <w:r>
              <w:rPr>
                <w:rFonts w:hint="eastAsia"/>
              </w:rPr>
              <w:t>≤虚警率≤</w:t>
            </w:r>
            <w:r>
              <w:rPr>
                <w:rFonts w:hint="eastAsia"/>
              </w:rPr>
              <w:t>12%</w:t>
            </w:r>
            <w:r>
              <w:br/>
              <w:t xml:space="preserve">1 </w:t>
            </w:r>
            <w:r>
              <w:rPr>
                <w:rFonts w:hint="eastAsia"/>
              </w:rPr>
              <w:t>分：虚警率＞</w:t>
            </w:r>
            <w:r>
              <w:rPr>
                <w:rFonts w:hint="eastAsia"/>
              </w:rPr>
              <w:t>12%</w:t>
            </w:r>
          </w:p>
        </w:tc>
      </w:tr>
      <w:tr w:rsidR="009B55B3" w14:paraId="596B064C" w14:textId="77777777" w:rsidTr="009B55B3">
        <w:trPr>
          <w:jc w:val="center"/>
        </w:trPr>
        <w:tc>
          <w:tcPr>
            <w:tcW w:w="0" w:type="auto"/>
            <w:vAlign w:val="center"/>
          </w:tcPr>
          <w:p w14:paraId="038451AF" w14:textId="77777777" w:rsidR="009B55B3" w:rsidRDefault="00CC309B">
            <w:pPr>
              <w:pStyle w:val="Compact"/>
              <w:spacing w:line="240" w:lineRule="auto"/>
              <w:jc w:val="center"/>
            </w:pPr>
            <w:r>
              <w:rPr>
                <w:rFonts w:hint="eastAsia"/>
              </w:rPr>
              <w:t>全球导航卫星系统模型</w:t>
            </w:r>
          </w:p>
        </w:tc>
        <w:tc>
          <w:tcPr>
            <w:tcW w:w="0" w:type="auto"/>
            <w:vAlign w:val="center"/>
          </w:tcPr>
          <w:p w14:paraId="063E59E7" w14:textId="77777777" w:rsidR="009B55B3" w:rsidRDefault="00CC309B">
            <w:pPr>
              <w:pStyle w:val="Compact"/>
              <w:spacing w:line="240" w:lineRule="auto"/>
              <w:jc w:val="center"/>
            </w:pPr>
            <w:r>
              <w:rPr>
                <w:rFonts w:hint="eastAsia"/>
              </w:rPr>
              <w:t>定位误差分布</w:t>
            </w:r>
          </w:p>
        </w:tc>
        <w:tc>
          <w:tcPr>
            <w:tcW w:w="0" w:type="auto"/>
            <w:vAlign w:val="center"/>
          </w:tcPr>
          <w:p w14:paraId="210BB6A8" w14:textId="77777777" w:rsidR="009B55B3" w:rsidRDefault="00CC309B">
            <w:pPr>
              <w:pStyle w:val="Compact"/>
              <w:spacing w:line="240" w:lineRule="auto"/>
              <w:jc w:val="center"/>
            </w:pPr>
            <w:r>
              <w:rPr>
                <w:rFonts w:hint="eastAsia"/>
              </w:rPr>
              <w:t>在开阔天空等理想条件下，仿真输出的定位误差分布（如水平定位圆概率误差（</w:t>
            </w:r>
            <w:r>
              <w:rPr>
                <w:rFonts w:hint="eastAsia"/>
              </w:rPr>
              <w:t>CEP</w:t>
            </w:r>
            <w:r>
              <w:rPr>
                <w:rFonts w:hint="eastAsia"/>
              </w:rPr>
              <w:t>））应与真实接收机数据或理论模型一致，</w:t>
            </w:r>
            <w:r>
              <w:rPr>
                <w:rFonts w:hint="eastAsia"/>
              </w:rPr>
              <w:t>CEP</w:t>
            </w:r>
            <w:r>
              <w:rPr>
                <w:rFonts w:hint="eastAsia"/>
              </w:rPr>
              <w:t>≤</w:t>
            </w:r>
            <w:r>
              <w:rPr>
                <w:rFonts w:hint="eastAsia"/>
              </w:rPr>
              <w:t>0.5</w:t>
            </w:r>
            <w:r>
              <w:t xml:space="preserve"> </w:t>
            </w:r>
            <w:r>
              <w:rPr>
                <w:rFonts w:hint="eastAsia"/>
              </w:rPr>
              <w:t>m</w:t>
            </w:r>
            <w:r>
              <w:rPr>
                <w:rFonts w:hint="eastAsia"/>
              </w:rPr>
              <w:t>，并支持多路径、电离层闪烁等误差的模拟。</w:t>
            </w:r>
            <w:r>
              <w:br/>
              <w:t xml:space="preserve">5 </w:t>
            </w:r>
            <w:r>
              <w:rPr>
                <w:rFonts w:hint="eastAsia"/>
              </w:rPr>
              <w:t>分：</w:t>
            </w:r>
            <w:r>
              <w:rPr>
                <w:rFonts w:hint="eastAsia"/>
              </w:rPr>
              <w:t>CEP</w:t>
            </w:r>
            <w:r>
              <w:rPr>
                <w:rFonts w:hint="eastAsia"/>
              </w:rPr>
              <w:t>≤</w:t>
            </w:r>
            <w:r>
              <w:rPr>
                <w:rFonts w:hint="eastAsia"/>
              </w:rPr>
              <w:t>0.3</w:t>
            </w:r>
            <w:r>
              <w:t xml:space="preserve"> m</w:t>
            </w:r>
            <w:r>
              <w:br/>
              <w:t xml:space="preserve">4 </w:t>
            </w:r>
            <w:r>
              <w:rPr>
                <w:rFonts w:hint="eastAsia"/>
              </w:rPr>
              <w:t>分：</w:t>
            </w:r>
            <w:r>
              <w:rPr>
                <w:rFonts w:hint="eastAsia"/>
              </w:rPr>
              <w:t>0.3</w:t>
            </w:r>
            <w:r>
              <w:t xml:space="preserve"> </w:t>
            </w:r>
            <w:r>
              <w:rPr>
                <w:rFonts w:hint="eastAsia"/>
              </w:rPr>
              <w:t>m</w:t>
            </w:r>
            <w:r>
              <w:rPr>
                <w:rFonts w:hint="eastAsia"/>
              </w:rPr>
              <w:t>＜</w:t>
            </w:r>
            <w:r>
              <w:rPr>
                <w:rFonts w:hint="eastAsia"/>
              </w:rPr>
              <w:t>CEP</w:t>
            </w:r>
            <w:r>
              <w:rPr>
                <w:rFonts w:hint="eastAsia"/>
              </w:rPr>
              <w:t>≤</w:t>
            </w:r>
            <w:r>
              <w:rPr>
                <w:rFonts w:hint="eastAsia"/>
              </w:rPr>
              <w:t>0.5</w:t>
            </w:r>
            <w:r>
              <w:t xml:space="preserve"> m</w:t>
            </w:r>
            <w:r>
              <w:br/>
              <w:t xml:space="preserve">3 </w:t>
            </w:r>
            <w:r>
              <w:rPr>
                <w:rFonts w:hint="eastAsia"/>
              </w:rPr>
              <w:t>分：</w:t>
            </w:r>
            <w:r>
              <w:rPr>
                <w:rFonts w:hint="eastAsia"/>
              </w:rPr>
              <w:t>0.5</w:t>
            </w:r>
            <w:r>
              <w:t xml:space="preserve"> </w:t>
            </w:r>
            <w:r>
              <w:rPr>
                <w:rFonts w:hint="eastAsia"/>
              </w:rPr>
              <w:t>m</w:t>
            </w:r>
            <w:r>
              <w:rPr>
                <w:rFonts w:hint="eastAsia"/>
              </w:rPr>
              <w:t>＜</w:t>
            </w:r>
            <w:r>
              <w:rPr>
                <w:rFonts w:hint="eastAsia"/>
              </w:rPr>
              <w:t>CEP</w:t>
            </w:r>
            <w:r>
              <w:rPr>
                <w:rFonts w:hint="eastAsia"/>
              </w:rPr>
              <w:t>≤</w:t>
            </w:r>
            <w:r>
              <w:rPr>
                <w:rFonts w:hint="eastAsia"/>
              </w:rPr>
              <w:t>0.8</w:t>
            </w:r>
            <w:r>
              <w:t xml:space="preserve"> m</w:t>
            </w:r>
            <w:r>
              <w:br/>
              <w:t xml:space="preserve">2 </w:t>
            </w:r>
            <w:r>
              <w:rPr>
                <w:rFonts w:hint="eastAsia"/>
              </w:rPr>
              <w:t>分：</w:t>
            </w:r>
            <w:r>
              <w:rPr>
                <w:rFonts w:hint="eastAsia"/>
              </w:rPr>
              <w:t>0.8</w:t>
            </w:r>
            <w:r>
              <w:t xml:space="preserve"> </w:t>
            </w:r>
            <w:r>
              <w:rPr>
                <w:rFonts w:hint="eastAsia"/>
              </w:rPr>
              <w:t>m</w:t>
            </w:r>
            <w:r>
              <w:rPr>
                <w:rFonts w:hint="eastAsia"/>
              </w:rPr>
              <w:t>＜</w:t>
            </w:r>
            <w:r>
              <w:rPr>
                <w:rFonts w:hint="eastAsia"/>
              </w:rPr>
              <w:t>CEP</w:t>
            </w:r>
            <w:r>
              <w:rPr>
                <w:rFonts w:hint="eastAsia"/>
              </w:rPr>
              <w:t>≤</w:t>
            </w:r>
            <w:r>
              <w:rPr>
                <w:rFonts w:hint="eastAsia"/>
              </w:rPr>
              <w:t>1.2</w:t>
            </w:r>
            <w:r>
              <w:t xml:space="preserve"> m</w:t>
            </w:r>
            <w:r>
              <w:br/>
              <w:t xml:space="preserve">1 </w:t>
            </w:r>
            <w:r>
              <w:rPr>
                <w:rFonts w:hint="eastAsia"/>
              </w:rPr>
              <w:t>分：</w:t>
            </w:r>
            <w:r>
              <w:rPr>
                <w:rFonts w:hint="eastAsia"/>
              </w:rPr>
              <w:t>CEP</w:t>
            </w:r>
            <w:r>
              <w:rPr>
                <w:rFonts w:hint="eastAsia"/>
              </w:rPr>
              <w:t>＞</w:t>
            </w:r>
            <w:r>
              <w:rPr>
                <w:rFonts w:hint="eastAsia"/>
              </w:rPr>
              <w:t>1.2</w:t>
            </w:r>
            <w:r>
              <w:t xml:space="preserve"> m</w:t>
            </w:r>
          </w:p>
        </w:tc>
      </w:tr>
      <w:tr w:rsidR="009B55B3" w14:paraId="1FAEC314" w14:textId="77777777" w:rsidTr="009B55B3">
        <w:trPr>
          <w:jc w:val="center"/>
        </w:trPr>
        <w:tc>
          <w:tcPr>
            <w:tcW w:w="0" w:type="auto"/>
            <w:vAlign w:val="center"/>
          </w:tcPr>
          <w:p w14:paraId="79DD8572" w14:textId="77777777" w:rsidR="009B55B3" w:rsidRDefault="00CC309B">
            <w:pPr>
              <w:pStyle w:val="Compact"/>
              <w:spacing w:line="240" w:lineRule="auto"/>
              <w:jc w:val="center"/>
            </w:pPr>
            <w:r>
              <w:rPr>
                <w:rFonts w:hint="eastAsia"/>
              </w:rPr>
              <w:t>多传感器融合</w:t>
            </w:r>
          </w:p>
        </w:tc>
        <w:tc>
          <w:tcPr>
            <w:tcW w:w="0" w:type="auto"/>
            <w:vAlign w:val="center"/>
          </w:tcPr>
          <w:p w14:paraId="42555F93" w14:textId="77777777" w:rsidR="009B55B3" w:rsidRDefault="00CC309B">
            <w:pPr>
              <w:pStyle w:val="Compact"/>
              <w:spacing w:line="240" w:lineRule="auto"/>
              <w:jc w:val="center"/>
            </w:pPr>
            <w:r>
              <w:rPr>
                <w:rFonts w:hint="eastAsia"/>
              </w:rPr>
              <w:t>时间同步误差</w:t>
            </w:r>
          </w:p>
        </w:tc>
        <w:tc>
          <w:tcPr>
            <w:tcW w:w="0" w:type="auto"/>
            <w:vAlign w:val="center"/>
          </w:tcPr>
          <w:p w14:paraId="6040594D" w14:textId="77777777" w:rsidR="009B55B3" w:rsidRDefault="00CC309B">
            <w:pPr>
              <w:pStyle w:val="Compact"/>
              <w:spacing w:line="240" w:lineRule="auto"/>
              <w:jc w:val="center"/>
            </w:pPr>
            <w:r>
              <w:rPr>
                <w:rFonts w:hint="eastAsia"/>
              </w:rPr>
              <w:t>仿真系统输出的各传感器数据时间戳，其相互之间的同步误差应≤</w:t>
            </w:r>
            <w:r>
              <w:rPr>
                <w:rFonts w:hint="eastAsia"/>
              </w:rPr>
              <w:t>1</w:t>
            </w:r>
            <w:r>
              <w:t xml:space="preserve"> ms</w:t>
            </w:r>
            <w:r>
              <w:t>。</w:t>
            </w:r>
            <w:r>
              <w:br/>
              <w:t xml:space="preserve">5 </w:t>
            </w:r>
            <w:r>
              <w:rPr>
                <w:rFonts w:hint="eastAsia"/>
              </w:rPr>
              <w:t>分：时间同步误差≤</w:t>
            </w:r>
            <w:r>
              <w:rPr>
                <w:rFonts w:hint="eastAsia"/>
              </w:rPr>
              <w:t>0.5</w:t>
            </w:r>
            <w:r>
              <w:t xml:space="preserve"> ms</w:t>
            </w:r>
            <w:r>
              <w:br/>
              <w:t xml:space="preserve">4 </w:t>
            </w:r>
            <w:r>
              <w:rPr>
                <w:rFonts w:hint="eastAsia"/>
              </w:rPr>
              <w:t>分：</w:t>
            </w:r>
            <w:r>
              <w:rPr>
                <w:rFonts w:hint="eastAsia"/>
              </w:rPr>
              <w:t>0.5</w:t>
            </w:r>
            <w:r>
              <w:t xml:space="preserve"> </w:t>
            </w:r>
            <w:r>
              <w:rPr>
                <w:rFonts w:hint="eastAsia"/>
              </w:rPr>
              <w:t>ms</w:t>
            </w:r>
            <w:r>
              <w:rPr>
                <w:rFonts w:hint="eastAsia"/>
              </w:rPr>
              <w:t>＜误差≤</w:t>
            </w:r>
            <w:r>
              <w:rPr>
                <w:rFonts w:hint="eastAsia"/>
              </w:rPr>
              <w:t>1.0</w:t>
            </w:r>
            <w:r>
              <w:t xml:space="preserve"> ms</w:t>
            </w:r>
            <w:r>
              <w:br/>
              <w:t xml:space="preserve">3 </w:t>
            </w:r>
            <w:r>
              <w:rPr>
                <w:rFonts w:hint="eastAsia"/>
              </w:rPr>
              <w:t>分：</w:t>
            </w:r>
            <w:r>
              <w:rPr>
                <w:rFonts w:hint="eastAsia"/>
              </w:rPr>
              <w:t>1.0</w:t>
            </w:r>
            <w:r>
              <w:t xml:space="preserve"> </w:t>
            </w:r>
            <w:r>
              <w:rPr>
                <w:rFonts w:hint="eastAsia"/>
              </w:rPr>
              <w:t>ms</w:t>
            </w:r>
            <w:r>
              <w:rPr>
                <w:rFonts w:hint="eastAsia"/>
              </w:rPr>
              <w:t>＜误差≤</w:t>
            </w:r>
            <w:r>
              <w:rPr>
                <w:rFonts w:hint="eastAsia"/>
              </w:rPr>
              <w:t>1.5</w:t>
            </w:r>
            <w:r>
              <w:t xml:space="preserve"> ms</w:t>
            </w:r>
            <w:r>
              <w:br/>
              <w:t xml:space="preserve">2 </w:t>
            </w:r>
            <w:r>
              <w:rPr>
                <w:rFonts w:hint="eastAsia"/>
              </w:rPr>
              <w:t>分：</w:t>
            </w:r>
            <w:r>
              <w:rPr>
                <w:rFonts w:hint="eastAsia"/>
              </w:rPr>
              <w:t>1.5</w:t>
            </w:r>
            <w:r>
              <w:t xml:space="preserve"> </w:t>
            </w:r>
            <w:r>
              <w:rPr>
                <w:rFonts w:hint="eastAsia"/>
              </w:rPr>
              <w:t>ms</w:t>
            </w:r>
            <w:r>
              <w:rPr>
                <w:rFonts w:hint="eastAsia"/>
              </w:rPr>
              <w:t>＜误差≤</w:t>
            </w:r>
            <w:r>
              <w:rPr>
                <w:rFonts w:hint="eastAsia"/>
              </w:rPr>
              <w:t>2.0</w:t>
            </w:r>
            <w:r>
              <w:t xml:space="preserve"> ms</w:t>
            </w:r>
            <w:r>
              <w:br/>
            </w:r>
            <w:r>
              <w:lastRenderedPageBreak/>
              <w:t xml:space="preserve">1 </w:t>
            </w:r>
            <w:r>
              <w:rPr>
                <w:rFonts w:hint="eastAsia"/>
              </w:rPr>
              <w:t>分：误差＞</w:t>
            </w:r>
            <w:r>
              <w:rPr>
                <w:rFonts w:hint="eastAsia"/>
              </w:rPr>
              <w:t>2.0</w:t>
            </w:r>
            <w:r>
              <w:t xml:space="preserve"> ms</w:t>
            </w:r>
          </w:p>
        </w:tc>
      </w:tr>
    </w:tbl>
    <w:p w14:paraId="0E7EA385" w14:textId="77777777" w:rsidR="009B55B3" w:rsidRDefault="00CC309B">
      <w:pPr>
        <w:pStyle w:val="a0"/>
        <w:spacing w:beforeLines="50" w:before="120"/>
      </w:pPr>
      <w:r>
        <w:rPr>
          <w:rFonts w:hint="eastAsia"/>
        </w:rPr>
        <w:lastRenderedPageBreak/>
        <w:t>各量化指标五级评分标准（</w:t>
      </w:r>
      <w:r>
        <w:rPr>
          <w:rFonts w:hint="eastAsia"/>
        </w:rPr>
        <w:t>1</w:t>
      </w:r>
      <w:r>
        <w:rPr>
          <w:rFonts w:hint="eastAsia"/>
        </w:rPr>
        <w:t>～</w:t>
      </w:r>
      <w:r>
        <w:rPr>
          <w:rFonts w:hint="eastAsia"/>
        </w:rPr>
        <w:t>5</w:t>
      </w:r>
      <w:r>
        <w:t xml:space="preserve"> </w:t>
      </w:r>
      <w:r>
        <w:rPr>
          <w:rFonts w:hint="eastAsia"/>
        </w:rPr>
        <w:t>分制）：</w:t>
      </w:r>
    </w:p>
    <w:p w14:paraId="2B53E335" w14:textId="77777777" w:rsidR="009B55B3" w:rsidRDefault="00CC309B">
      <w:pPr>
        <w:pStyle w:val="a0"/>
      </w:pPr>
      <w:r>
        <w:t xml:space="preserve">5 </w:t>
      </w:r>
      <w:r>
        <w:rPr>
          <w:rFonts w:hint="eastAsia"/>
        </w:rPr>
        <w:t>分：优秀，优于标准阈值、余量充足；</w:t>
      </w:r>
      <w:r>
        <w:br/>
        <w:t xml:space="preserve">4 </w:t>
      </w:r>
      <w:r>
        <w:rPr>
          <w:rFonts w:hint="eastAsia"/>
        </w:rPr>
        <w:t>分：良好，刚好满足标准阈值要求；</w:t>
      </w:r>
      <w:r>
        <w:br/>
        <w:t xml:space="preserve">3 </w:t>
      </w:r>
      <w:r>
        <w:rPr>
          <w:rFonts w:hint="eastAsia"/>
        </w:rPr>
        <w:t>分：合格，略低于阈值、偏差可控；</w:t>
      </w:r>
      <w:r>
        <w:br/>
        <w:t xml:space="preserve">2 </w:t>
      </w:r>
      <w:r>
        <w:rPr>
          <w:rFonts w:hint="eastAsia"/>
        </w:rPr>
        <w:t>分：较差，明显不满足指标、仿真偏差较大；</w:t>
      </w:r>
      <w:r>
        <w:br/>
        <w:t xml:space="preserve">1 </w:t>
      </w:r>
      <w:r>
        <w:rPr>
          <w:rFonts w:hint="eastAsia"/>
        </w:rPr>
        <w:t>分：极差，仿真失真严重、无工程可用度。</w:t>
      </w:r>
    </w:p>
    <w:p w14:paraId="4C404371" w14:textId="470C34B7" w:rsidR="009B55B3" w:rsidRDefault="00CC309B">
      <w:pPr>
        <w:pStyle w:val="3"/>
      </w:pPr>
      <w:bookmarkStart w:id="51" w:name="通信系统仿真可信度"/>
      <w:bookmarkEnd w:id="50"/>
      <w:r>
        <w:t xml:space="preserve">5.3 </w:t>
      </w:r>
      <w:r>
        <w:rPr>
          <w:rFonts w:hint="eastAsia"/>
        </w:rPr>
        <w:t>通信系统仿真</w:t>
      </w:r>
    </w:p>
    <w:p w14:paraId="58682210" w14:textId="77777777" w:rsidR="009B55B3" w:rsidRDefault="00CC309B">
      <w:pPr>
        <w:pStyle w:val="FirstParagraph"/>
      </w:pPr>
      <w:r>
        <w:rPr>
          <w:rFonts w:hint="eastAsia"/>
        </w:rPr>
        <w:t>通信系统仿真可信度评估指标见表</w:t>
      </w:r>
      <w:r>
        <w:rPr>
          <w:rFonts w:hint="eastAsia"/>
        </w:rPr>
        <w:t>7</w:t>
      </w:r>
      <w:r>
        <w:rPr>
          <w:rFonts w:hint="eastAsia"/>
        </w:rPr>
        <w:t>。</w:t>
      </w:r>
    </w:p>
    <w:p w14:paraId="2DEF9BC0" w14:textId="77777777" w:rsidR="009B55B3" w:rsidRDefault="00CC309B">
      <w:pPr>
        <w:pStyle w:val="a0"/>
        <w:autoSpaceDE w:val="0"/>
        <w:autoSpaceDN w:val="0"/>
        <w:jc w:val="center"/>
      </w:pPr>
      <w:r>
        <w:rPr>
          <w:rFonts w:hint="eastAsia"/>
        </w:rPr>
        <w:t>表</w:t>
      </w:r>
      <w:r>
        <w:rPr>
          <w:rFonts w:hint="eastAsia"/>
        </w:rPr>
        <w:t>7</w:t>
      </w:r>
      <w:r>
        <w:t xml:space="preserve"> </w:t>
      </w:r>
      <w:r>
        <w:rPr>
          <w:rFonts w:hint="eastAsia"/>
        </w:rPr>
        <w:t>通信系统仿真可信度评估指标</w:t>
      </w:r>
    </w:p>
    <w:tbl>
      <w:tblPr>
        <w:tblStyle w:val="Table"/>
        <w:tblW w:w="5000" w:type="pct"/>
        <w:jc w:val="center"/>
        <w:tblLook w:val="0020" w:firstRow="1" w:lastRow="0" w:firstColumn="0" w:lastColumn="0" w:noHBand="0" w:noVBand="0"/>
      </w:tblPr>
      <w:tblGrid>
        <w:gridCol w:w="966"/>
        <w:gridCol w:w="1278"/>
        <w:gridCol w:w="6376"/>
      </w:tblGrid>
      <w:tr w:rsidR="009B55B3" w14:paraId="71BA7F5E" w14:textId="77777777" w:rsidTr="009B55B3">
        <w:trPr>
          <w:cnfStyle w:val="100000000000" w:firstRow="1" w:lastRow="0" w:firstColumn="0" w:lastColumn="0" w:oddVBand="0" w:evenVBand="0" w:oddHBand="0" w:evenHBand="0" w:firstRowFirstColumn="0" w:firstRowLastColumn="0" w:lastRowFirstColumn="0" w:lastRowLastColumn="0"/>
          <w:jc w:val="center"/>
        </w:trPr>
        <w:tc>
          <w:tcPr>
            <w:tcW w:w="0" w:type="auto"/>
            <w:vAlign w:val="center"/>
          </w:tcPr>
          <w:p w14:paraId="5C36E9B8" w14:textId="77777777" w:rsidR="009B55B3" w:rsidRDefault="00CC309B">
            <w:pPr>
              <w:pStyle w:val="Compact"/>
              <w:spacing w:line="240" w:lineRule="auto"/>
              <w:jc w:val="center"/>
            </w:pPr>
            <w:r>
              <w:rPr>
                <w:rFonts w:hint="eastAsia"/>
                <w:b/>
                <w:bCs/>
              </w:rPr>
              <w:t>评估维度</w:t>
            </w:r>
          </w:p>
        </w:tc>
        <w:tc>
          <w:tcPr>
            <w:tcW w:w="0" w:type="auto"/>
            <w:vAlign w:val="center"/>
          </w:tcPr>
          <w:p w14:paraId="41B110EF" w14:textId="77777777" w:rsidR="009B55B3" w:rsidRDefault="00CC309B">
            <w:pPr>
              <w:pStyle w:val="Compact"/>
              <w:spacing w:line="240" w:lineRule="auto"/>
              <w:jc w:val="center"/>
              <w:cnfStyle w:val="000000000000" w:firstRow="0" w:lastRow="0" w:firstColumn="0" w:lastColumn="0" w:oddVBand="0" w:evenVBand="0" w:oddHBand="0" w:evenHBand="0" w:firstRowFirstColumn="0" w:firstRowLastColumn="0" w:lastRowFirstColumn="0" w:lastRowLastColumn="0"/>
            </w:pPr>
            <w:r>
              <w:rPr>
                <w:rFonts w:hint="eastAsia"/>
                <w:b/>
                <w:bCs/>
              </w:rPr>
              <w:t>评估指标</w:t>
            </w:r>
          </w:p>
        </w:tc>
        <w:tc>
          <w:tcPr>
            <w:tcW w:w="0" w:type="auto"/>
            <w:vAlign w:val="center"/>
          </w:tcPr>
          <w:p w14:paraId="40E3798A" w14:textId="77777777" w:rsidR="009B55B3" w:rsidRDefault="00CC309B">
            <w:pPr>
              <w:pStyle w:val="Compact"/>
              <w:spacing w:line="240" w:lineRule="auto"/>
              <w:jc w:val="center"/>
              <w:cnfStyle w:val="000000000000" w:firstRow="0" w:lastRow="0" w:firstColumn="0" w:lastColumn="0" w:oddVBand="0" w:evenVBand="0" w:oddHBand="0" w:evenHBand="0" w:firstRowFirstColumn="0" w:firstRowLastColumn="0" w:lastRowFirstColumn="0" w:lastRowLastColumn="0"/>
            </w:pPr>
            <w:r>
              <w:rPr>
                <w:rFonts w:hint="eastAsia"/>
                <w:b/>
                <w:bCs/>
              </w:rPr>
              <w:t>指标说明与要求</w:t>
            </w:r>
          </w:p>
        </w:tc>
      </w:tr>
      <w:tr w:rsidR="009B55B3" w14:paraId="26244493" w14:textId="77777777" w:rsidTr="009B55B3">
        <w:trPr>
          <w:jc w:val="center"/>
        </w:trPr>
        <w:tc>
          <w:tcPr>
            <w:tcW w:w="0" w:type="auto"/>
            <w:vAlign w:val="center"/>
          </w:tcPr>
          <w:p w14:paraId="1AB529FE" w14:textId="77777777" w:rsidR="009B55B3" w:rsidRDefault="00CC309B">
            <w:pPr>
              <w:pStyle w:val="Compact"/>
              <w:spacing w:line="240" w:lineRule="auto"/>
              <w:jc w:val="center"/>
            </w:pPr>
            <w:r>
              <w:t xml:space="preserve">V2X </w:t>
            </w:r>
            <w:r>
              <w:rPr>
                <w:rFonts w:hint="eastAsia"/>
              </w:rPr>
              <w:t>模型</w:t>
            </w:r>
          </w:p>
        </w:tc>
        <w:tc>
          <w:tcPr>
            <w:tcW w:w="0" w:type="auto"/>
            <w:vAlign w:val="center"/>
          </w:tcPr>
          <w:p w14:paraId="3318BE08" w14:textId="77777777" w:rsidR="009B55B3" w:rsidRDefault="00CC309B">
            <w:pPr>
              <w:pStyle w:val="Compact"/>
              <w:spacing w:line="240" w:lineRule="auto"/>
              <w:jc w:val="center"/>
            </w:pPr>
            <w:r>
              <w:rPr>
                <w:rFonts w:hint="eastAsia"/>
              </w:rPr>
              <w:t>消息传输时延与丢包率</w:t>
            </w:r>
          </w:p>
        </w:tc>
        <w:tc>
          <w:tcPr>
            <w:tcW w:w="0" w:type="auto"/>
            <w:vAlign w:val="center"/>
          </w:tcPr>
          <w:p w14:paraId="573EFAB1" w14:textId="77777777" w:rsidR="009B55B3" w:rsidRDefault="00CC309B">
            <w:pPr>
              <w:pStyle w:val="Compact"/>
              <w:spacing w:line="240" w:lineRule="auto"/>
              <w:jc w:val="center"/>
            </w:pPr>
            <w:r>
              <w:rPr>
                <w:rFonts w:hint="eastAsia"/>
              </w:rPr>
              <w:t>在设定的信道模型和通信协议下，端到端通信时延与丢包率的统计分布应符合模型配置及协议参数；测试条件、测量起止点、统计口径和接受阈值应在评估前明确。</w:t>
            </w:r>
          </w:p>
        </w:tc>
      </w:tr>
    </w:tbl>
    <w:p w14:paraId="586780EF" w14:textId="3A4F38EE" w:rsidR="009B55B3" w:rsidRDefault="00CC309B">
      <w:pPr>
        <w:pStyle w:val="3"/>
      </w:pPr>
      <w:bookmarkStart w:id="52" w:name="交通场景仿真可信度"/>
      <w:bookmarkEnd w:id="51"/>
      <w:r>
        <w:t xml:space="preserve">5.4 </w:t>
      </w:r>
      <w:r>
        <w:rPr>
          <w:rFonts w:hint="eastAsia"/>
        </w:rPr>
        <w:t>交通场景仿真</w:t>
      </w:r>
    </w:p>
    <w:p w14:paraId="15CA403F" w14:textId="77777777" w:rsidR="009B55B3" w:rsidRDefault="00CC309B">
      <w:pPr>
        <w:pStyle w:val="3"/>
      </w:pPr>
      <w:bookmarkStart w:id="53" w:name="交通场景仿真可信度评估指标"/>
      <w:bookmarkEnd w:id="52"/>
      <w:r>
        <w:t xml:space="preserve">5.4.1 </w:t>
      </w:r>
      <w:r>
        <w:rPr>
          <w:rFonts w:hint="eastAsia"/>
        </w:rPr>
        <w:t>交通场景仿真可信度评估指标</w:t>
      </w:r>
    </w:p>
    <w:p w14:paraId="0B0F6830" w14:textId="77777777" w:rsidR="009B55B3" w:rsidRDefault="00CC309B">
      <w:pPr>
        <w:pStyle w:val="FirstParagraph"/>
      </w:pPr>
      <w:r>
        <w:rPr>
          <w:rFonts w:hint="eastAsia"/>
        </w:rPr>
        <w:t>交通场景仿真可信度评估指标见表</w:t>
      </w:r>
      <w:r>
        <w:rPr>
          <w:rFonts w:hint="eastAsia"/>
        </w:rPr>
        <w:t>8</w:t>
      </w:r>
      <w:r>
        <w:rPr>
          <w:rFonts w:hint="eastAsia"/>
        </w:rPr>
        <w:t>。</w:t>
      </w:r>
    </w:p>
    <w:p w14:paraId="691CAEDC" w14:textId="77777777" w:rsidR="009B55B3" w:rsidRDefault="00CC309B">
      <w:pPr>
        <w:pStyle w:val="a0"/>
        <w:autoSpaceDE w:val="0"/>
        <w:autoSpaceDN w:val="0"/>
        <w:jc w:val="center"/>
      </w:pPr>
      <w:r>
        <w:rPr>
          <w:rFonts w:hint="eastAsia"/>
        </w:rPr>
        <w:t>表</w:t>
      </w:r>
      <w:r>
        <w:rPr>
          <w:rFonts w:hint="eastAsia"/>
        </w:rPr>
        <w:t>8</w:t>
      </w:r>
      <w:r>
        <w:t xml:space="preserve"> </w:t>
      </w:r>
      <w:r>
        <w:rPr>
          <w:rFonts w:hint="eastAsia"/>
        </w:rPr>
        <w:t>交通场景仿真可信度评估指标</w:t>
      </w:r>
    </w:p>
    <w:tbl>
      <w:tblPr>
        <w:tblStyle w:val="Table"/>
        <w:tblW w:w="5000" w:type="pct"/>
        <w:jc w:val="center"/>
        <w:tblLook w:val="0020" w:firstRow="1" w:lastRow="0" w:firstColumn="0" w:lastColumn="0" w:noHBand="0" w:noVBand="0"/>
      </w:tblPr>
      <w:tblGrid>
        <w:gridCol w:w="1088"/>
        <w:gridCol w:w="1592"/>
        <w:gridCol w:w="5940"/>
      </w:tblGrid>
      <w:tr w:rsidR="009B55B3" w14:paraId="28E57F55" w14:textId="77777777" w:rsidTr="009B55B3">
        <w:trPr>
          <w:cnfStyle w:val="100000000000" w:firstRow="1" w:lastRow="0" w:firstColumn="0" w:lastColumn="0" w:oddVBand="0" w:evenVBand="0" w:oddHBand="0" w:evenHBand="0" w:firstRowFirstColumn="0" w:firstRowLastColumn="0" w:lastRowFirstColumn="0" w:lastRowLastColumn="0"/>
          <w:jc w:val="center"/>
        </w:trPr>
        <w:tc>
          <w:tcPr>
            <w:tcW w:w="0" w:type="auto"/>
            <w:vAlign w:val="center"/>
          </w:tcPr>
          <w:p w14:paraId="0C6D1B52" w14:textId="77777777" w:rsidR="009B55B3" w:rsidRDefault="00CC309B">
            <w:pPr>
              <w:pStyle w:val="Compact"/>
              <w:spacing w:line="240" w:lineRule="auto"/>
              <w:jc w:val="center"/>
            </w:pPr>
            <w:r>
              <w:rPr>
                <w:rFonts w:hint="eastAsia"/>
                <w:b/>
                <w:bCs/>
              </w:rPr>
              <w:t>评估维度</w:t>
            </w:r>
          </w:p>
        </w:tc>
        <w:tc>
          <w:tcPr>
            <w:tcW w:w="0" w:type="auto"/>
            <w:vAlign w:val="center"/>
          </w:tcPr>
          <w:p w14:paraId="50BDD3C2" w14:textId="77777777" w:rsidR="009B55B3" w:rsidRDefault="00CC309B">
            <w:pPr>
              <w:pStyle w:val="Compact"/>
              <w:spacing w:line="240" w:lineRule="auto"/>
              <w:jc w:val="center"/>
              <w:cnfStyle w:val="000000000000" w:firstRow="0" w:lastRow="0" w:firstColumn="0" w:lastColumn="0" w:oddVBand="0" w:evenVBand="0" w:oddHBand="0" w:evenHBand="0" w:firstRowFirstColumn="0" w:firstRowLastColumn="0" w:lastRowFirstColumn="0" w:lastRowLastColumn="0"/>
            </w:pPr>
            <w:r>
              <w:rPr>
                <w:rFonts w:hint="eastAsia"/>
                <w:b/>
                <w:bCs/>
              </w:rPr>
              <w:t>评估指标</w:t>
            </w:r>
          </w:p>
        </w:tc>
        <w:tc>
          <w:tcPr>
            <w:tcW w:w="0" w:type="auto"/>
            <w:vAlign w:val="center"/>
          </w:tcPr>
          <w:p w14:paraId="1D719172" w14:textId="77777777" w:rsidR="009B55B3" w:rsidRDefault="00CC309B">
            <w:pPr>
              <w:pStyle w:val="Compact"/>
              <w:spacing w:line="240" w:lineRule="auto"/>
              <w:jc w:val="center"/>
              <w:cnfStyle w:val="000000000000" w:firstRow="0" w:lastRow="0" w:firstColumn="0" w:lastColumn="0" w:oddVBand="0" w:evenVBand="0" w:oddHBand="0" w:evenHBand="0" w:firstRowFirstColumn="0" w:firstRowLastColumn="0" w:lastRowFirstColumn="0" w:lastRowLastColumn="0"/>
            </w:pPr>
            <w:r>
              <w:rPr>
                <w:rFonts w:hint="eastAsia"/>
                <w:b/>
                <w:bCs/>
              </w:rPr>
              <w:t>指标说明与要求</w:t>
            </w:r>
          </w:p>
        </w:tc>
      </w:tr>
      <w:tr w:rsidR="009B55B3" w14:paraId="27C24A55" w14:textId="77777777" w:rsidTr="009B55B3">
        <w:trPr>
          <w:jc w:val="center"/>
        </w:trPr>
        <w:tc>
          <w:tcPr>
            <w:tcW w:w="0" w:type="auto"/>
            <w:vAlign w:val="center"/>
          </w:tcPr>
          <w:p w14:paraId="0752AD35" w14:textId="77777777" w:rsidR="009B55B3" w:rsidRDefault="00CC309B">
            <w:pPr>
              <w:pStyle w:val="Compact"/>
              <w:spacing w:line="240" w:lineRule="auto"/>
              <w:jc w:val="center"/>
            </w:pPr>
            <w:r>
              <w:rPr>
                <w:rFonts w:hint="eastAsia"/>
              </w:rPr>
              <w:t>几何与纹理精度</w:t>
            </w:r>
          </w:p>
        </w:tc>
        <w:tc>
          <w:tcPr>
            <w:tcW w:w="0" w:type="auto"/>
            <w:vAlign w:val="center"/>
          </w:tcPr>
          <w:p w14:paraId="09CB8F1E" w14:textId="77777777" w:rsidR="009B55B3" w:rsidRDefault="00CC309B">
            <w:pPr>
              <w:pStyle w:val="Compact"/>
              <w:spacing w:line="240" w:lineRule="auto"/>
              <w:jc w:val="center"/>
            </w:pPr>
            <w:r>
              <w:rPr>
                <w:rFonts w:hint="eastAsia"/>
              </w:rPr>
              <w:t>几何畸变率</w:t>
            </w:r>
          </w:p>
        </w:tc>
        <w:tc>
          <w:tcPr>
            <w:tcW w:w="0" w:type="auto"/>
            <w:vAlign w:val="center"/>
          </w:tcPr>
          <w:p w14:paraId="613E229A" w14:textId="77777777" w:rsidR="009B55B3" w:rsidRDefault="00CC309B">
            <w:pPr>
              <w:pStyle w:val="Compact"/>
              <w:spacing w:line="240" w:lineRule="auto"/>
              <w:jc w:val="center"/>
            </w:pPr>
            <w:r>
              <w:rPr>
                <w:rFonts w:hint="eastAsia"/>
              </w:rPr>
              <w:t>渲染图像的几何畸变（如直线弯曲）应控制在可接受范围内，可通过主观评分（≥</w:t>
            </w:r>
            <w:r>
              <w:rPr>
                <w:rFonts w:hint="eastAsia"/>
              </w:rPr>
              <w:t>85</w:t>
            </w:r>
            <w:r>
              <w:t xml:space="preserve"> </w:t>
            </w:r>
            <w:r>
              <w:rPr>
                <w:rFonts w:hint="eastAsia"/>
              </w:rPr>
              <w:t>分）或客观指标（结构相似性指数≥</w:t>
            </w:r>
            <w:r>
              <w:rPr>
                <w:rFonts w:hint="eastAsia"/>
              </w:rPr>
              <w:t>0.85</w:t>
            </w:r>
            <w:r>
              <w:rPr>
                <w:rFonts w:hint="eastAsia"/>
              </w:rPr>
              <w:t>）衡量。</w:t>
            </w:r>
          </w:p>
        </w:tc>
      </w:tr>
      <w:tr w:rsidR="009B55B3" w14:paraId="57CF6357" w14:textId="77777777" w:rsidTr="009B55B3">
        <w:trPr>
          <w:jc w:val="center"/>
        </w:trPr>
        <w:tc>
          <w:tcPr>
            <w:tcW w:w="0" w:type="auto"/>
            <w:vAlign w:val="center"/>
          </w:tcPr>
          <w:p w14:paraId="63AA774B" w14:textId="77777777" w:rsidR="009B55B3" w:rsidRDefault="00CC309B">
            <w:pPr>
              <w:pStyle w:val="Compact"/>
              <w:spacing w:line="240" w:lineRule="auto"/>
              <w:jc w:val="center"/>
            </w:pPr>
            <w:r>
              <w:rPr>
                <w:rFonts w:hint="eastAsia"/>
              </w:rPr>
              <w:t>光照与</w:t>
            </w:r>
            <w:r>
              <w:rPr>
                <w:rFonts w:hint="eastAsia"/>
              </w:rPr>
              <w:lastRenderedPageBreak/>
              <w:t>阴影</w:t>
            </w:r>
          </w:p>
        </w:tc>
        <w:tc>
          <w:tcPr>
            <w:tcW w:w="0" w:type="auto"/>
            <w:vAlign w:val="center"/>
          </w:tcPr>
          <w:p w14:paraId="1DAF5EFA" w14:textId="77777777" w:rsidR="009B55B3" w:rsidRDefault="00CC309B">
            <w:pPr>
              <w:pStyle w:val="Compact"/>
              <w:spacing w:line="240" w:lineRule="auto"/>
              <w:jc w:val="center"/>
            </w:pPr>
            <w:r>
              <w:rPr>
                <w:rFonts w:hint="eastAsia"/>
              </w:rPr>
              <w:lastRenderedPageBreak/>
              <w:t>光照一致性</w:t>
            </w:r>
          </w:p>
        </w:tc>
        <w:tc>
          <w:tcPr>
            <w:tcW w:w="0" w:type="auto"/>
            <w:vAlign w:val="center"/>
          </w:tcPr>
          <w:p w14:paraId="6BDB516B" w14:textId="77777777" w:rsidR="009B55B3" w:rsidRDefault="00CC309B">
            <w:pPr>
              <w:pStyle w:val="Compact"/>
              <w:spacing w:line="240" w:lineRule="auto"/>
              <w:jc w:val="center"/>
            </w:pPr>
            <w:r>
              <w:rPr>
                <w:rFonts w:hint="eastAsia"/>
              </w:rPr>
              <w:t>同一场景下，不同虚拟相机视角渲染出的阴影方向、</w:t>
            </w:r>
            <w:r>
              <w:rPr>
                <w:rFonts w:hint="eastAsia"/>
              </w:rPr>
              <w:lastRenderedPageBreak/>
              <w:t>形状应保持一致，且符合物理光照规律。</w:t>
            </w:r>
          </w:p>
        </w:tc>
      </w:tr>
      <w:tr w:rsidR="009B55B3" w14:paraId="674F5729" w14:textId="77777777" w:rsidTr="009B55B3">
        <w:trPr>
          <w:jc w:val="center"/>
        </w:trPr>
        <w:tc>
          <w:tcPr>
            <w:tcW w:w="0" w:type="auto"/>
            <w:vAlign w:val="center"/>
          </w:tcPr>
          <w:p w14:paraId="4A22E8FB" w14:textId="77777777" w:rsidR="009B55B3" w:rsidRDefault="00CC309B">
            <w:pPr>
              <w:pStyle w:val="Compact"/>
              <w:spacing w:line="240" w:lineRule="auto"/>
              <w:jc w:val="center"/>
            </w:pPr>
            <w:r>
              <w:rPr>
                <w:rFonts w:hint="eastAsia"/>
              </w:rPr>
              <w:lastRenderedPageBreak/>
              <w:t>天气效果</w:t>
            </w:r>
          </w:p>
        </w:tc>
        <w:tc>
          <w:tcPr>
            <w:tcW w:w="0" w:type="auto"/>
            <w:vAlign w:val="center"/>
          </w:tcPr>
          <w:p w14:paraId="3850BFFF" w14:textId="77777777" w:rsidR="009B55B3" w:rsidRDefault="00CC309B">
            <w:pPr>
              <w:pStyle w:val="Compact"/>
              <w:spacing w:line="240" w:lineRule="auto"/>
              <w:jc w:val="center"/>
            </w:pPr>
            <w:r>
              <w:rPr>
                <w:rFonts w:hint="eastAsia"/>
              </w:rPr>
              <w:t>雨、雾、雪等模拟真实度</w:t>
            </w:r>
          </w:p>
        </w:tc>
        <w:tc>
          <w:tcPr>
            <w:tcW w:w="0" w:type="auto"/>
            <w:vAlign w:val="center"/>
          </w:tcPr>
          <w:p w14:paraId="0CE2792C" w14:textId="77777777" w:rsidR="009B55B3" w:rsidRDefault="00CC309B">
            <w:pPr>
              <w:pStyle w:val="Compact"/>
              <w:spacing w:line="240" w:lineRule="auto"/>
              <w:jc w:val="center"/>
            </w:pPr>
            <w:r>
              <w:rPr>
                <w:rFonts w:hint="eastAsia"/>
              </w:rPr>
              <w:t>模拟天气条件下的传感器输出（如相机图像、激光雷达点云）应与真实传感器在相似条件下的输出数据进行特征对比，相似度≥</w:t>
            </w:r>
            <w:r>
              <w:rPr>
                <w:rFonts w:hint="eastAsia"/>
              </w:rPr>
              <w:t>80%</w:t>
            </w:r>
            <w:r>
              <w:rPr>
                <w:rFonts w:hint="eastAsia"/>
              </w:rPr>
              <w:t>。</w:t>
            </w:r>
          </w:p>
        </w:tc>
      </w:tr>
    </w:tbl>
    <w:p w14:paraId="69CFB95A" w14:textId="77777777" w:rsidR="009B55B3" w:rsidRDefault="00CC309B">
      <w:pPr>
        <w:pStyle w:val="a0"/>
        <w:spacing w:beforeLines="50" w:before="120"/>
      </w:pPr>
      <w:r>
        <w:rPr>
          <w:rFonts w:hint="eastAsia"/>
        </w:rPr>
        <w:t>以下细化评价指标沿用第</w:t>
      </w:r>
      <w:r>
        <w:t xml:space="preserve"> 4.4 </w:t>
      </w:r>
      <w:r>
        <w:rPr>
          <w:rFonts w:hint="eastAsia"/>
        </w:rPr>
        <w:t>条能力要求的分类口径，作为交通场景仿真可信度评价的补充检查项，与本条已有评估维度共同用于核查静态要素、动态要素、环境要素和突发事件要素的覆盖性、一致性、可配置性和可复现性。</w:t>
      </w:r>
    </w:p>
    <w:p w14:paraId="61069C64" w14:textId="77777777" w:rsidR="009B55B3" w:rsidRDefault="00CC309B">
      <w:pPr>
        <w:pStyle w:val="3"/>
      </w:pPr>
      <w:bookmarkStart w:id="54" w:name="场景静态要素可信度评价指标"/>
      <w:bookmarkEnd w:id="53"/>
      <w:r>
        <w:t xml:space="preserve">5.4.2 </w:t>
      </w:r>
      <w:r>
        <w:rPr>
          <w:rFonts w:hint="eastAsia"/>
        </w:rPr>
        <w:t>场景静态要素可信度评价指标</w:t>
      </w:r>
    </w:p>
    <w:p w14:paraId="55AA9B58" w14:textId="77777777" w:rsidR="009B55B3" w:rsidRDefault="00CC309B">
      <w:pPr>
        <w:pStyle w:val="FirstParagraph"/>
      </w:pPr>
      <w:r>
        <w:rPr>
          <w:rFonts w:hint="eastAsia"/>
        </w:rPr>
        <w:t>场景静态要素可信度评价指标见表</w:t>
      </w:r>
      <w:r>
        <w:rPr>
          <w:rFonts w:hint="eastAsia"/>
        </w:rPr>
        <w:t>9</w:t>
      </w:r>
      <w:r>
        <w:rPr>
          <w:rFonts w:hint="eastAsia"/>
        </w:rPr>
        <w:t>。</w:t>
      </w:r>
    </w:p>
    <w:p w14:paraId="0D1651D8" w14:textId="77777777" w:rsidR="009B55B3" w:rsidRDefault="00CC309B">
      <w:pPr>
        <w:pStyle w:val="a0"/>
        <w:autoSpaceDE w:val="0"/>
        <w:autoSpaceDN w:val="0"/>
        <w:jc w:val="center"/>
      </w:pPr>
      <w:r>
        <w:rPr>
          <w:rFonts w:hint="eastAsia"/>
        </w:rPr>
        <w:t>表</w:t>
      </w:r>
      <w:r>
        <w:rPr>
          <w:rFonts w:hint="eastAsia"/>
        </w:rPr>
        <w:t>9</w:t>
      </w:r>
      <w:r>
        <w:t xml:space="preserve"> </w:t>
      </w:r>
      <w:r>
        <w:rPr>
          <w:rFonts w:hint="eastAsia"/>
        </w:rPr>
        <w:t>场景静态要素可信度评价指标</w:t>
      </w:r>
    </w:p>
    <w:tbl>
      <w:tblPr>
        <w:tblStyle w:val="Table"/>
        <w:tblW w:w="5000" w:type="pct"/>
        <w:jc w:val="center"/>
        <w:tblLook w:val="0020" w:firstRow="1" w:lastRow="0" w:firstColumn="0" w:lastColumn="0" w:noHBand="0" w:noVBand="0"/>
      </w:tblPr>
      <w:tblGrid>
        <w:gridCol w:w="879"/>
        <w:gridCol w:w="1119"/>
        <w:gridCol w:w="6622"/>
      </w:tblGrid>
      <w:tr w:rsidR="009B55B3" w14:paraId="4E3FDB60" w14:textId="77777777" w:rsidTr="009B55B3">
        <w:trPr>
          <w:cnfStyle w:val="100000000000" w:firstRow="1" w:lastRow="0" w:firstColumn="0" w:lastColumn="0" w:oddVBand="0" w:evenVBand="0" w:oddHBand="0" w:evenHBand="0" w:firstRowFirstColumn="0" w:firstRowLastColumn="0" w:lastRowFirstColumn="0" w:lastRowLastColumn="0"/>
          <w:jc w:val="center"/>
        </w:trPr>
        <w:tc>
          <w:tcPr>
            <w:tcW w:w="0" w:type="auto"/>
            <w:vAlign w:val="center"/>
          </w:tcPr>
          <w:p w14:paraId="2C4E7AE6" w14:textId="77777777" w:rsidR="009B55B3" w:rsidRDefault="00CC309B">
            <w:pPr>
              <w:pStyle w:val="Compact"/>
              <w:spacing w:line="240" w:lineRule="auto"/>
              <w:jc w:val="center"/>
            </w:pPr>
            <w:r>
              <w:rPr>
                <w:rFonts w:hint="eastAsia"/>
                <w:b/>
                <w:bCs/>
              </w:rPr>
              <w:t>一级指标类别</w:t>
            </w:r>
          </w:p>
        </w:tc>
        <w:tc>
          <w:tcPr>
            <w:tcW w:w="0" w:type="auto"/>
            <w:vAlign w:val="center"/>
          </w:tcPr>
          <w:p w14:paraId="59CDA291" w14:textId="77777777" w:rsidR="009B55B3" w:rsidRDefault="00CC309B">
            <w:pPr>
              <w:pStyle w:val="Compact"/>
              <w:spacing w:line="240" w:lineRule="auto"/>
              <w:jc w:val="center"/>
              <w:cnfStyle w:val="000000000000" w:firstRow="0" w:lastRow="0" w:firstColumn="0" w:lastColumn="0" w:oddVBand="0" w:evenVBand="0" w:oddHBand="0" w:evenHBand="0" w:firstRowFirstColumn="0" w:firstRowLastColumn="0" w:lastRowFirstColumn="0" w:lastRowLastColumn="0"/>
            </w:pPr>
            <w:r>
              <w:rPr>
                <w:rFonts w:hint="eastAsia"/>
                <w:b/>
                <w:bCs/>
              </w:rPr>
              <w:t>二级指标项</w:t>
            </w:r>
          </w:p>
        </w:tc>
        <w:tc>
          <w:tcPr>
            <w:tcW w:w="0" w:type="auto"/>
            <w:vAlign w:val="center"/>
          </w:tcPr>
          <w:p w14:paraId="40E28CC9" w14:textId="77777777" w:rsidR="009B55B3" w:rsidRDefault="00CC309B">
            <w:pPr>
              <w:pStyle w:val="Compact"/>
              <w:spacing w:line="240" w:lineRule="auto"/>
              <w:jc w:val="center"/>
              <w:cnfStyle w:val="000000000000" w:firstRow="0" w:lastRow="0" w:firstColumn="0" w:lastColumn="0" w:oddVBand="0" w:evenVBand="0" w:oddHBand="0" w:evenHBand="0" w:firstRowFirstColumn="0" w:firstRowLastColumn="0" w:lastRowFirstColumn="0" w:lastRowLastColumn="0"/>
            </w:pPr>
            <w:r>
              <w:rPr>
                <w:rFonts w:hint="eastAsia"/>
                <w:b/>
                <w:bCs/>
              </w:rPr>
              <w:t>指标要求</w:t>
            </w:r>
          </w:p>
        </w:tc>
      </w:tr>
      <w:tr w:rsidR="009B55B3" w14:paraId="1B3EE26A" w14:textId="77777777" w:rsidTr="009B55B3">
        <w:trPr>
          <w:jc w:val="center"/>
        </w:trPr>
        <w:tc>
          <w:tcPr>
            <w:tcW w:w="0" w:type="auto"/>
            <w:vAlign w:val="center"/>
          </w:tcPr>
          <w:p w14:paraId="02CFE259" w14:textId="77777777" w:rsidR="009B55B3" w:rsidRDefault="00CC309B">
            <w:pPr>
              <w:pStyle w:val="Compact"/>
              <w:spacing w:line="240" w:lineRule="auto"/>
              <w:jc w:val="center"/>
            </w:pPr>
            <w:r>
              <w:rPr>
                <w:rFonts w:hint="eastAsia"/>
              </w:rPr>
              <w:t>道路空间建模</w:t>
            </w:r>
          </w:p>
        </w:tc>
        <w:tc>
          <w:tcPr>
            <w:tcW w:w="0" w:type="auto"/>
            <w:vAlign w:val="center"/>
          </w:tcPr>
          <w:p w14:paraId="7C2B1618" w14:textId="77777777" w:rsidR="009B55B3" w:rsidRDefault="00CC309B">
            <w:pPr>
              <w:pStyle w:val="Compact"/>
              <w:spacing w:line="240" w:lineRule="auto"/>
              <w:jc w:val="center"/>
            </w:pPr>
            <w:r>
              <w:rPr>
                <w:rFonts w:hint="eastAsia"/>
              </w:rPr>
              <w:t>道路类型覆盖</w:t>
            </w:r>
          </w:p>
        </w:tc>
        <w:tc>
          <w:tcPr>
            <w:tcW w:w="0" w:type="auto"/>
            <w:vAlign w:val="center"/>
          </w:tcPr>
          <w:p w14:paraId="1BFB858B" w14:textId="77777777" w:rsidR="009B55B3" w:rsidRDefault="00CC309B">
            <w:pPr>
              <w:pStyle w:val="Compact"/>
              <w:spacing w:line="240" w:lineRule="auto"/>
              <w:jc w:val="center"/>
            </w:pPr>
            <w:r>
              <w:rPr>
                <w:rFonts w:hint="eastAsia"/>
              </w:rPr>
              <w:t>覆盖公路、城市道路、城市快速路</w:t>
            </w:r>
            <w:r>
              <w:rPr>
                <w:rFonts w:hint="eastAsia"/>
              </w:rPr>
              <w:t>/</w:t>
            </w:r>
            <w:r>
              <w:rPr>
                <w:rFonts w:hint="eastAsia"/>
              </w:rPr>
              <w:t>高速公路、山地道路、封闭园区道路等类型；涉及被测自动驾驶系统设计运行条件的道路类型应全部覆盖。</w:t>
            </w:r>
          </w:p>
        </w:tc>
      </w:tr>
      <w:tr w:rsidR="009B55B3" w14:paraId="5EB9A17A" w14:textId="77777777" w:rsidTr="009B55B3">
        <w:trPr>
          <w:jc w:val="center"/>
        </w:trPr>
        <w:tc>
          <w:tcPr>
            <w:tcW w:w="0" w:type="auto"/>
            <w:vAlign w:val="center"/>
          </w:tcPr>
          <w:p w14:paraId="5680C9D5" w14:textId="77777777" w:rsidR="009B55B3" w:rsidRDefault="00CC309B">
            <w:pPr>
              <w:pStyle w:val="Compact"/>
              <w:spacing w:line="240" w:lineRule="auto"/>
              <w:jc w:val="center"/>
            </w:pPr>
            <w:r>
              <w:rPr>
                <w:rFonts w:hint="eastAsia"/>
              </w:rPr>
              <w:t>道路空间建模</w:t>
            </w:r>
          </w:p>
        </w:tc>
        <w:tc>
          <w:tcPr>
            <w:tcW w:w="0" w:type="auto"/>
            <w:vAlign w:val="center"/>
          </w:tcPr>
          <w:p w14:paraId="25CBDB9A" w14:textId="77777777" w:rsidR="009B55B3" w:rsidRDefault="00CC309B">
            <w:pPr>
              <w:pStyle w:val="Compact"/>
              <w:spacing w:line="240" w:lineRule="auto"/>
              <w:jc w:val="center"/>
            </w:pPr>
            <w:r>
              <w:rPr>
                <w:rFonts w:hint="eastAsia"/>
              </w:rPr>
              <w:t>路网拓扑表达</w:t>
            </w:r>
          </w:p>
        </w:tc>
        <w:tc>
          <w:tcPr>
            <w:tcW w:w="0" w:type="auto"/>
            <w:vAlign w:val="center"/>
          </w:tcPr>
          <w:p w14:paraId="18B47A04" w14:textId="77777777" w:rsidR="009B55B3" w:rsidRDefault="00CC309B">
            <w:pPr>
              <w:pStyle w:val="Compact"/>
              <w:spacing w:line="240" w:lineRule="auto"/>
              <w:jc w:val="center"/>
            </w:pPr>
            <w:r>
              <w:rPr>
                <w:rFonts w:hint="eastAsia"/>
              </w:rPr>
              <w:t>支持车道级路网拓扑建模，包括道路、车道、交叉路口、匝道、隧道、桥梁、环岛、公交站台、施工区等要素。</w:t>
            </w:r>
          </w:p>
        </w:tc>
      </w:tr>
      <w:tr w:rsidR="009B55B3" w14:paraId="2AED6B8D" w14:textId="77777777" w:rsidTr="009B55B3">
        <w:trPr>
          <w:jc w:val="center"/>
        </w:trPr>
        <w:tc>
          <w:tcPr>
            <w:tcW w:w="0" w:type="auto"/>
            <w:vAlign w:val="center"/>
          </w:tcPr>
          <w:p w14:paraId="12749DBD" w14:textId="77777777" w:rsidR="009B55B3" w:rsidRDefault="00CC309B">
            <w:pPr>
              <w:pStyle w:val="Compact"/>
              <w:spacing w:line="240" w:lineRule="auto"/>
              <w:jc w:val="center"/>
            </w:pPr>
            <w:r>
              <w:rPr>
                <w:rFonts w:hint="eastAsia"/>
              </w:rPr>
              <w:t>道路空间建模</w:t>
            </w:r>
          </w:p>
        </w:tc>
        <w:tc>
          <w:tcPr>
            <w:tcW w:w="0" w:type="auto"/>
            <w:vAlign w:val="center"/>
          </w:tcPr>
          <w:p w14:paraId="1ED41C07" w14:textId="77777777" w:rsidR="009B55B3" w:rsidRDefault="00CC309B">
            <w:pPr>
              <w:pStyle w:val="Compact"/>
              <w:spacing w:line="240" w:lineRule="auto"/>
              <w:jc w:val="center"/>
            </w:pPr>
            <w:r>
              <w:rPr>
                <w:rFonts w:hint="eastAsia"/>
              </w:rPr>
              <w:t>车道连接关系表达</w:t>
            </w:r>
          </w:p>
        </w:tc>
        <w:tc>
          <w:tcPr>
            <w:tcW w:w="0" w:type="auto"/>
            <w:vAlign w:val="center"/>
          </w:tcPr>
          <w:p w14:paraId="4A43ED24" w14:textId="77777777" w:rsidR="009B55B3" w:rsidRDefault="00CC309B">
            <w:pPr>
              <w:pStyle w:val="Compact"/>
              <w:spacing w:line="240" w:lineRule="auto"/>
              <w:jc w:val="center"/>
            </w:pPr>
            <w:r>
              <w:rPr>
                <w:rFonts w:hint="eastAsia"/>
              </w:rPr>
              <w:t>车道数量、车道宽度、车道边界、通行方向、车道连接、转向关系、汇入汇出关系和优先通行关系。</w:t>
            </w:r>
          </w:p>
        </w:tc>
      </w:tr>
      <w:tr w:rsidR="009B55B3" w14:paraId="6DF7ED19" w14:textId="77777777" w:rsidTr="009B55B3">
        <w:trPr>
          <w:jc w:val="center"/>
        </w:trPr>
        <w:tc>
          <w:tcPr>
            <w:tcW w:w="0" w:type="auto"/>
            <w:vAlign w:val="center"/>
          </w:tcPr>
          <w:p w14:paraId="7143C228" w14:textId="77777777" w:rsidR="009B55B3" w:rsidRDefault="00CC309B">
            <w:pPr>
              <w:pStyle w:val="Compact"/>
              <w:spacing w:line="240" w:lineRule="auto"/>
              <w:jc w:val="center"/>
            </w:pPr>
            <w:r>
              <w:rPr>
                <w:rFonts w:hint="eastAsia"/>
              </w:rPr>
              <w:t>道路几何建模</w:t>
            </w:r>
          </w:p>
        </w:tc>
        <w:tc>
          <w:tcPr>
            <w:tcW w:w="0" w:type="auto"/>
            <w:vAlign w:val="center"/>
          </w:tcPr>
          <w:p w14:paraId="4F7C72BD" w14:textId="77777777" w:rsidR="009B55B3" w:rsidRDefault="00CC309B">
            <w:pPr>
              <w:pStyle w:val="Compact"/>
              <w:spacing w:line="240" w:lineRule="auto"/>
              <w:jc w:val="center"/>
            </w:pPr>
            <w:r>
              <w:rPr>
                <w:rFonts w:hint="eastAsia"/>
              </w:rPr>
              <w:t>几何参数配置</w:t>
            </w:r>
          </w:p>
        </w:tc>
        <w:tc>
          <w:tcPr>
            <w:tcW w:w="0" w:type="auto"/>
            <w:vAlign w:val="center"/>
          </w:tcPr>
          <w:p w14:paraId="744AA063" w14:textId="77777777" w:rsidR="009B55B3" w:rsidRDefault="00CC309B">
            <w:pPr>
              <w:pStyle w:val="Compact"/>
              <w:spacing w:line="240" w:lineRule="auto"/>
              <w:jc w:val="center"/>
            </w:pPr>
            <w:r>
              <w:rPr>
                <w:rFonts w:hint="eastAsia"/>
              </w:rPr>
              <w:t>应支持道路曲率、坡度、超高、弯道半径、直线段长度、匝道长度、隧道长度、桥梁长度、路口半径等参数配置。</w:t>
            </w:r>
          </w:p>
        </w:tc>
      </w:tr>
      <w:tr w:rsidR="009B55B3" w14:paraId="6188D373" w14:textId="77777777" w:rsidTr="009B55B3">
        <w:trPr>
          <w:jc w:val="center"/>
        </w:trPr>
        <w:tc>
          <w:tcPr>
            <w:tcW w:w="0" w:type="auto"/>
            <w:vAlign w:val="center"/>
          </w:tcPr>
          <w:p w14:paraId="5B4FD117" w14:textId="77777777" w:rsidR="009B55B3" w:rsidRDefault="00CC309B">
            <w:pPr>
              <w:pStyle w:val="Compact"/>
              <w:spacing w:line="240" w:lineRule="auto"/>
              <w:jc w:val="center"/>
            </w:pPr>
            <w:r>
              <w:rPr>
                <w:rFonts w:hint="eastAsia"/>
              </w:rPr>
              <w:t>道路几何建模</w:t>
            </w:r>
          </w:p>
        </w:tc>
        <w:tc>
          <w:tcPr>
            <w:tcW w:w="0" w:type="auto"/>
            <w:vAlign w:val="center"/>
          </w:tcPr>
          <w:p w14:paraId="201546AF" w14:textId="77777777" w:rsidR="009B55B3" w:rsidRDefault="00CC309B">
            <w:pPr>
              <w:pStyle w:val="Compact"/>
              <w:spacing w:line="240" w:lineRule="auto"/>
              <w:jc w:val="center"/>
            </w:pPr>
            <w:r>
              <w:rPr>
                <w:rFonts w:hint="eastAsia"/>
              </w:rPr>
              <w:t>几何连续性</w:t>
            </w:r>
          </w:p>
        </w:tc>
        <w:tc>
          <w:tcPr>
            <w:tcW w:w="0" w:type="auto"/>
            <w:vAlign w:val="center"/>
          </w:tcPr>
          <w:p w14:paraId="6B456D8E" w14:textId="77777777" w:rsidR="009B55B3" w:rsidRDefault="00CC309B">
            <w:pPr>
              <w:pStyle w:val="Compact"/>
              <w:spacing w:line="240" w:lineRule="auto"/>
              <w:jc w:val="center"/>
            </w:pPr>
            <w:r>
              <w:rPr>
                <w:rFonts w:hint="eastAsia"/>
              </w:rPr>
              <w:t>道路中心线、车道边界线、路缘、匝道连接、交叉路口衔接等几何形态应连续，不应出现断裂、错位、重叠、悬浮等异常。</w:t>
            </w:r>
          </w:p>
        </w:tc>
      </w:tr>
      <w:tr w:rsidR="009B55B3" w14:paraId="293BAA36" w14:textId="77777777" w:rsidTr="009B55B3">
        <w:trPr>
          <w:jc w:val="center"/>
        </w:trPr>
        <w:tc>
          <w:tcPr>
            <w:tcW w:w="0" w:type="auto"/>
            <w:vAlign w:val="center"/>
          </w:tcPr>
          <w:p w14:paraId="5924CE26" w14:textId="77777777" w:rsidR="009B55B3" w:rsidRDefault="00CC309B">
            <w:pPr>
              <w:pStyle w:val="Compact"/>
              <w:spacing w:line="240" w:lineRule="auto"/>
              <w:jc w:val="center"/>
            </w:pPr>
            <w:r>
              <w:rPr>
                <w:rFonts w:hint="eastAsia"/>
              </w:rPr>
              <w:t>交通</w:t>
            </w:r>
            <w:r>
              <w:rPr>
                <w:rFonts w:hint="eastAsia"/>
              </w:rPr>
              <w:lastRenderedPageBreak/>
              <w:t>规则设施</w:t>
            </w:r>
          </w:p>
        </w:tc>
        <w:tc>
          <w:tcPr>
            <w:tcW w:w="0" w:type="auto"/>
            <w:vAlign w:val="center"/>
          </w:tcPr>
          <w:p w14:paraId="74056CCE" w14:textId="77777777" w:rsidR="009B55B3" w:rsidRDefault="00CC309B">
            <w:pPr>
              <w:pStyle w:val="Compact"/>
              <w:spacing w:line="240" w:lineRule="auto"/>
              <w:jc w:val="center"/>
            </w:pPr>
            <w:r>
              <w:rPr>
                <w:rFonts w:hint="eastAsia"/>
              </w:rPr>
              <w:lastRenderedPageBreak/>
              <w:t>标志、</w:t>
            </w:r>
            <w:r>
              <w:rPr>
                <w:rFonts w:hint="eastAsia"/>
              </w:rPr>
              <w:lastRenderedPageBreak/>
              <w:t>标线</w:t>
            </w:r>
          </w:p>
        </w:tc>
        <w:tc>
          <w:tcPr>
            <w:tcW w:w="0" w:type="auto"/>
            <w:vAlign w:val="center"/>
          </w:tcPr>
          <w:p w14:paraId="0F2C1559" w14:textId="77777777" w:rsidR="009B55B3" w:rsidRDefault="00CC309B">
            <w:pPr>
              <w:pStyle w:val="Compact"/>
              <w:spacing w:line="240" w:lineRule="auto"/>
              <w:jc w:val="center"/>
            </w:pPr>
            <w:r>
              <w:rPr>
                <w:rFonts w:hint="eastAsia"/>
              </w:rPr>
              <w:lastRenderedPageBreak/>
              <w:t>道路交通标志、导向箭头等应符合</w:t>
            </w:r>
            <w:r>
              <w:t xml:space="preserve"> GB 5768.1—2025 </w:t>
            </w:r>
            <w:r>
              <w:rPr>
                <w:rFonts w:hint="eastAsia"/>
              </w:rPr>
              <w:t>和</w:t>
            </w:r>
            <w:r>
              <w:t xml:space="preserve"> GB </w:t>
            </w:r>
            <w:r>
              <w:lastRenderedPageBreak/>
              <w:t xml:space="preserve">5768.2—2022 </w:t>
            </w:r>
            <w:r>
              <w:rPr>
                <w:rFonts w:hint="eastAsia"/>
              </w:rPr>
              <w:t>的规定；道路交通标线、停止线、人行横道线和车道边界线应符合</w:t>
            </w:r>
            <w:r>
              <w:t xml:space="preserve"> GB 5768.1—2025 </w:t>
            </w:r>
            <w:r>
              <w:rPr>
                <w:rFonts w:hint="eastAsia"/>
              </w:rPr>
              <w:t>和</w:t>
            </w:r>
            <w:r>
              <w:t xml:space="preserve"> GB 5768.3—2025 </w:t>
            </w:r>
            <w:r>
              <w:rPr>
                <w:rFonts w:hint="eastAsia"/>
              </w:rPr>
              <w:t>的规定；作业区交通锥等设施应符合</w:t>
            </w:r>
            <w:r>
              <w:t xml:space="preserve"> GB 5768.4—2017 </w:t>
            </w:r>
            <w:r>
              <w:rPr>
                <w:rFonts w:hint="eastAsia"/>
              </w:rPr>
              <w:t>的规定。</w:t>
            </w:r>
          </w:p>
        </w:tc>
      </w:tr>
      <w:tr w:rsidR="009B55B3" w14:paraId="40202F9D" w14:textId="77777777" w:rsidTr="009B55B3">
        <w:trPr>
          <w:jc w:val="center"/>
        </w:trPr>
        <w:tc>
          <w:tcPr>
            <w:tcW w:w="0" w:type="auto"/>
            <w:vAlign w:val="center"/>
          </w:tcPr>
          <w:p w14:paraId="70FD99E7" w14:textId="77777777" w:rsidR="009B55B3" w:rsidRDefault="00CC309B">
            <w:pPr>
              <w:pStyle w:val="Compact"/>
              <w:spacing w:line="240" w:lineRule="auto"/>
              <w:jc w:val="center"/>
            </w:pPr>
            <w:r>
              <w:rPr>
                <w:rFonts w:hint="eastAsia"/>
              </w:rPr>
              <w:lastRenderedPageBreak/>
              <w:t>交通规则设施</w:t>
            </w:r>
          </w:p>
        </w:tc>
        <w:tc>
          <w:tcPr>
            <w:tcW w:w="0" w:type="auto"/>
            <w:vAlign w:val="center"/>
          </w:tcPr>
          <w:p w14:paraId="4C062D47" w14:textId="77777777" w:rsidR="009B55B3" w:rsidRDefault="00CC309B">
            <w:pPr>
              <w:pStyle w:val="Compact"/>
              <w:spacing w:line="240" w:lineRule="auto"/>
              <w:jc w:val="center"/>
            </w:pPr>
            <w:r>
              <w:rPr>
                <w:rFonts w:hint="eastAsia"/>
              </w:rPr>
              <w:t>交通信号</w:t>
            </w:r>
          </w:p>
        </w:tc>
        <w:tc>
          <w:tcPr>
            <w:tcW w:w="0" w:type="auto"/>
            <w:vAlign w:val="center"/>
          </w:tcPr>
          <w:p w14:paraId="2403C819" w14:textId="77777777" w:rsidR="009B55B3" w:rsidRDefault="00CC309B">
            <w:pPr>
              <w:pStyle w:val="Compact"/>
              <w:spacing w:line="240" w:lineRule="auto"/>
              <w:jc w:val="center"/>
            </w:pPr>
            <w:r>
              <w:rPr>
                <w:rFonts w:hint="eastAsia"/>
              </w:rPr>
              <w:t>应支持机动车信号灯、车道信号灯、行人信号灯等建模，信号灯设置条件、组合形式、安装方式、图案、尺寸和颜色应符合相关标准要求。</w:t>
            </w:r>
          </w:p>
        </w:tc>
      </w:tr>
      <w:tr w:rsidR="009B55B3" w14:paraId="2D25ED22" w14:textId="77777777" w:rsidTr="009B55B3">
        <w:trPr>
          <w:jc w:val="center"/>
        </w:trPr>
        <w:tc>
          <w:tcPr>
            <w:tcW w:w="0" w:type="auto"/>
            <w:vAlign w:val="center"/>
          </w:tcPr>
          <w:p w14:paraId="2DCF6D48" w14:textId="77777777" w:rsidR="009B55B3" w:rsidRDefault="00CC309B">
            <w:pPr>
              <w:pStyle w:val="Compact"/>
              <w:spacing w:line="240" w:lineRule="auto"/>
              <w:jc w:val="center"/>
            </w:pPr>
            <w:r>
              <w:rPr>
                <w:rFonts w:hint="eastAsia"/>
              </w:rPr>
              <w:t>交通规则设施</w:t>
            </w:r>
          </w:p>
        </w:tc>
        <w:tc>
          <w:tcPr>
            <w:tcW w:w="0" w:type="auto"/>
            <w:vAlign w:val="center"/>
          </w:tcPr>
          <w:p w14:paraId="09A0356E" w14:textId="77777777" w:rsidR="009B55B3" w:rsidRDefault="00CC309B">
            <w:pPr>
              <w:pStyle w:val="Compact"/>
              <w:spacing w:line="240" w:lineRule="auto"/>
              <w:jc w:val="center"/>
            </w:pPr>
            <w:r>
              <w:rPr>
                <w:rFonts w:hint="eastAsia"/>
              </w:rPr>
              <w:t>道路基础设施</w:t>
            </w:r>
          </w:p>
        </w:tc>
        <w:tc>
          <w:tcPr>
            <w:tcW w:w="0" w:type="auto"/>
            <w:vAlign w:val="center"/>
          </w:tcPr>
          <w:p w14:paraId="622E815E" w14:textId="77777777" w:rsidR="009B55B3" w:rsidRDefault="00CC309B">
            <w:pPr>
              <w:pStyle w:val="Compact"/>
              <w:spacing w:line="240" w:lineRule="auto"/>
              <w:jc w:val="center"/>
            </w:pPr>
            <w:r>
              <w:rPr>
                <w:rFonts w:hint="eastAsia"/>
              </w:rPr>
              <w:t>应支持护栏、隔离带、路缘石、绿化带、隧道壁、桥梁护栏、施工围挡、减速带、公交站台、警示牌等基础设施建模。</w:t>
            </w:r>
          </w:p>
        </w:tc>
      </w:tr>
      <w:tr w:rsidR="009B55B3" w14:paraId="23535D8D" w14:textId="77777777" w:rsidTr="009B55B3">
        <w:trPr>
          <w:jc w:val="center"/>
        </w:trPr>
        <w:tc>
          <w:tcPr>
            <w:tcW w:w="0" w:type="auto"/>
            <w:vAlign w:val="center"/>
          </w:tcPr>
          <w:p w14:paraId="2307001A" w14:textId="77777777" w:rsidR="009B55B3" w:rsidRDefault="00CC309B">
            <w:pPr>
              <w:pStyle w:val="Compact"/>
              <w:spacing w:line="240" w:lineRule="auto"/>
              <w:jc w:val="center"/>
            </w:pPr>
            <w:r>
              <w:rPr>
                <w:rFonts w:hint="eastAsia"/>
              </w:rPr>
              <w:t>视觉渲染一致性</w:t>
            </w:r>
          </w:p>
        </w:tc>
        <w:tc>
          <w:tcPr>
            <w:tcW w:w="0" w:type="auto"/>
            <w:vAlign w:val="center"/>
          </w:tcPr>
          <w:p w14:paraId="5E9BBB9C" w14:textId="77777777" w:rsidR="009B55B3" w:rsidRDefault="00CC309B">
            <w:pPr>
              <w:pStyle w:val="Compact"/>
              <w:spacing w:line="240" w:lineRule="auto"/>
              <w:jc w:val="center"/>
            </w:pPr>
            <w:r>
              <w:rPr>
                <w:rFonts w:hint="eastAsia"/>
              </w:rPr>
              <w:t>纹理质量</w:t>
            </w:r>
          </w:p>
        </w:tc>
        <w:tc>
          <w:tcPr>
            <w:tcW w:w="0" w:type="auto"/>
            <w:vAlign w:val="center"/>
          </w:tcPr>
          <w:p w14:paraId="17794B88" w14:textId="77777777" w:rsidR="009B55B3" w:rsidRDefault="00CC309B">
            <w:pPr>
              <w:pStyle w:val="Compact"/>
              <w:spacing w:line="240" w:lineRule="auto"/>
              <w:jc w:val="center"/>
            </w:pPr>
            <w:r>
              <w:rPr>
                <w:rFonts w:hint="eastAsia"/>
              </w:rPr>
              <w:t>道路、标线、标志、建筑物和设施纹理应清晰、比例合理，不应出现影响感知识别的严重模糊、错位、拉伸或畸变。</w:t>
            </w:r>
          </w:p>
        </w:tc>
      </w:tr>
      <w:tr w:rsidR="009B55B3" w14:paraId="72683ECE" w14:textId="77777777" w:rsidTr="009B55B3">
        <w:trPr>
          <w:jc w:val="center"/>
        </w:trPr>
        <w:tc>
          <w:tcPr>
            <w:tcW w:w="0" w:type="auto"/>
            <w:vAlign w:val="center"/>
          </w:tcPr>
          <w:p w14:paraId="5038A617" w14:textId="77777777" w:rsidR="009B55B3" w:rsidRDefault="00CC309B">
            <w:pPr>
              <w:pStyle w:val="Compact"/>
              <w:spacing w:line="240" w:lineRule="auto"/>
              <w:jc w:val="center"/>
            </w:pPr>
            <w:r>
              <w:rPr>
                <w:rFonts w:hint="eastAsia"/>
              </w:rPr>
              <w:t>视觉渲染一致性</w:t>
            </w:r>
          </w:p>
        </w:tc>
        <w:tc>
          <w:tcPr>
            <w:tcW w:w="0" w:type="auto"/>
            <w:vAlign w:val="center"/>
          </w:tcPr>
          <w:p w14:paraId="28489F37" w14:textId="77777777" w:rsidR="009B55B3" w:rsidRDefault="00CC309B">
            <w:pPr>
              <w:pStyle w:val="Compact"/>
              <w:spacing w:line="240" w:lineRule="auto"/>
              <w:jc w:val="center"/>
            </w:pPr>
            <w:r>
              <w:rPr>
                <w:rFonts w:hint="eastAsia"/>
              </w:rPr>
              <w:t>光照与阴影</w:t>
            </w:r>
          </w:p>
        </w:tc>
        <w:tc>
          <w:tcPr>
            <w:tcW w:w="0" w:type="auto"/>
            <w:vAlign w:val="center"/>
          </w:tcPr>
          <w:p w14:paraId="0510D92D" w14:textId="77777777" w:rsidR="009B55B3" w:rsidRDefault="00CC309B">
            <w:pPr>
              <w:pStyle w:val="Compact"/>
              <w:spacing w:line="240" w:lineRule="auto"/>
              <w:jc w:val="center"/>
            </w:pPr>
            <w:r>
              <w:rPr>
                <w:rFonts w:hint="eastAsia"/>
              </w:rPr>
              <w:t>静态场景中的光照方向、阴影位置、明暗变化应符合基本物理规律，隧道口、桥梁、建筑物遮挡等区域应具有合理光照过渡。</w:t>
            </w:r>
          </w:p>
        </w:tc>
      </w:tr>
      <w:tr w:rsidR="009B55B3" w14:paraId="30E16B5E" w14:textId="77777777" w:rsidTr="009B55B3">
        <w:trPr>
          <w:jc w:val="center"/>
        </w:trPr>
        <w:tc>
          <w:tcPr>
            <w:tcW w:w="0" w:type="auto"/>
            <w:vAlign w:val="center"/>
          </w:tcPr>
          <w:p w14:paraId="243E4C2A" w14:textId="77777777" w:rsidR="009B55B3" w:rsidRDefault="00CC309B">
            <w:pPr>
              <w:pStyle w:val="Compact"/>
              <w:spacing w:line="240" w:lineRule="auto"/>
              <w:jc w:val="center"/>
            </w:pPr>
            <w:r>
              <w:rPr>
                <w:rFonts w:hint="eastAsia"/>
              </w:rPr>
              <w:t>视觉渲染一致性</w:t>
            </w:r>
          </w:p>
        </w:tc>
        <w:tc>
          <w:tcPr>
            <w:tcW w:w="0" w:type="auto"/>
            <w:vAlign w:val="center"/>
          </w:tcPr>
          <w:p w14:paraId="04FCAD52" w14:textId="77777777" w:rsidR="009B55B3" w:rsidRDefault="00CC309B">
            <w:pPr>
              <w:pStyle w:val="Compact"/>
              <w:spacing w:line="240" w:lineRule="auto"/>
              <w:jc w:val="center"/>
            </w:pPr>
            <w:r>
              <w:rPr>
                <w:rFonts w:hint="eastAsia"/>
              </w:rPr>
              <w:t>多视角一致性</w:t>
            </w:r>
          </w:p>
        </w:tc>
        <w:tc>
          <w:tcPr>
            <w:tcW w:w="0" w:type="auto"/>
            <w:vAlign w:val="center"/>
          </w:tcPr>
          <w:p w14:paraId="6C91CFE5" w14:textId="77777777" w:rsidR="009B55B3" w:rsidRDefault="00CC309B">
            <w:pPr>
              <w:pStyle w:val="Compact"/>
              <w:spacing w:line="240" w:lineRule="auto"/>
              <w:jc w:val="center"/>
            </w:pPr>
            <w:r>
              <w:rPr>
                <w:rFonts w:hint="eastAsia"/>
              </w:rPr>
              <w:t>同一静态要素在不同传感器视角下的空间位置、遮挡关系和可见性应保持一致。</w:t>
            </w:r>
          </w:p>
        </w:tc>
      </w:tr>
      <w:tr w:rsidR="009B55B3" w14:paraId="59495B1D" w14:textId="77777777" w:rsidTr="009B55B3">
        <w:trPr>
          <w:jc w:val="center"/>
        </w:trPr>
        <w:tc>
          <w:tcPr>
            <w:tcW w:w="0" w:type="auto"/>
            <w:vAlign w:val="center"/>
          </w:tcPr>
          <w:p w14:paraId="52E0D3A2" w14:textId="77777777" w:rsidR="009B55B3" w:rsidRDefault="00CC309B">
            <w:pPr>
              <w:pStyle w:val="Compact"/>
              <w:spacing w:line="240" w:lineRule="auto"/>
              <w:jc w:val="center"/>
            </w:pPr>
            <w:r>
              <w:rPr>
                <w:rFonts w:hint="eastAsia"/>
              </w:rPr>
              <w:t>参数化与可复用</w:t>
            </w:r>
          </w:p>
        </w:tc>
        <w:tc>
          <w:tcPr>
            <w:tcW w:w="0" w:type="auto"/>
            <w:vAlign w:val="center"/>
          </w:tcPr>
          <w:p w14:paraId="1623C991" w14:textId="77777777" w:rsidR="009B55B3" w:rsidRDefault="00CC309B">
            <w:pPr>
              <w:pStyle w:val="Compact"/>
              <w:spacing w:line="240" w:lineRule="auto"/>
              <w:jc w:val="center"/>
            </w:pPr>
            <w:r>
              <w:rPr>
                <w:rFonts w:hint="eastAsia"/>
              </w:rPr>
              <w:t>参数可配置</w:t>
            </w:r>
          </w:p>
        </w:tc>
        <w:tc>
          <w:tcPr>
            <w:tcW w:w="0" w:type="auto"/>
            <w:vAlign w:val="center"/>
          </w:tcPr>
          <w:p w14:paraId="75F87FBD" w14:textId="77777777" w:rsidR="009B55B3" w:rsidRDefault="00CC309B">
            <w:pPr>
              <w:pStyle w:val="Compact"/>
              <w:spacing w:line="240" w:lineRule="auto"/>
              <w:jc w:val="center"/>
            </w:pPr>
            <w:r>
              <w:rPr>
                <w:rFonts w:hint="eastAsia"/>
              </w:rPr>
              <w:t>静态要素的几何尺寸、位置、朝向、材质、标志标线类型、信号灯状态等应支持参数化配置。</w:t>
            </w:r>
          </w:p>
        </w:tc>
      </w:tr>
      <w:tr w:rsidR="009B55B3" w14:paraId="3E2B7C8A" w14:textId="77777777" w:rsidTr="009B55B3">
        <w:trPr>
          <w:jc w:val="center"/>
        </w:trPr>
        <w:tc>
          <w:tcPr>
            <w:tcW w:w="0" w:type="auto"/>
            <w:vAlign w:val="center"/>
          </w:tcPr>
          <w:p w14:paraId="6E393F46" w14:textId="77777777" w:rsidR="009B55B3" w:rsidRDefault="00CC309B">
            <w:pPr>
              <w:pStyle w:val="Compact"/>
              <w:spacing w:line="240" w:lineRule="auto"/>
              <w:jc w:val="center"/>
            </w:pPr>
            <w:r>
              <w:rPr>
                <w:rFonts w:hint="eastAsia"/>
              </w:rPr>
              <w:t>参数化与可复用</w:t>
            </w:r>
          </w:p>
        </w:tc>
        <w:tc>
          <w:tcPr>
            <w:tcW w:w="0" w:type="auto"/>
            <w:vAlign w:val="center"/>
          </w:tcPr>
          <w:p w14:paraId="253D552C" w14:textId="77777777" w:rsidR="009B55B3" w:rsidRDefault="00CC309B">
            <w:pPr>
              <w:pStyle w:val="Compact"/>
              <w:spacing w:line="240" w:lineRule="auto"/>
              <w:jc w:val="center"/>
            </w:pPr>
            <w:r>
              <w:rPr>
                <w:rFonts w:hint="eastAsia"/>
              </w:rPr>
              <w:t>场景初始条件支撑</w:t>
            </w:r>
          </w:p>
        </w:tc>
        <w:tc>
          <w:tcPr>
            <w:tcW w:w="0" w:type="auto"/>
            <w:vAlign w:val="center"/>
          </w:tcPr>
          <w:p w14:paraId="3CF92C76" w14:textId="77777777" w:rsidR="009B55B3" w:rsidRDefault="00CC309B">
            <w:pPr>
              <w:pStyle w:val="Compact"/>
              <w:spacing w:line="240" w:lineRule="auto"/>
              <w:jc w:val="center"/>
            </w:pPr>
            <w:r>
              <w:rPr>
                <w:rFonts w:hint="eastAsia"/>
              </w:rPr>
              <w:t>如需设置地图、引导车、数字信息或过渡路段以使自动驾驶系统达到初始条件，不应改变具体试验场景，也不应影响试验结果。</w:t>
            </w:r>
          </w:p>
        </w:tc>
      </w:tr>
    </w:tbl>
    <w:p w14:paraId="25559386" w14:textId="77777777" w:rsidR="009B55B3" w:rsidRDefault="00CC309B">
      <w:pPr>
        <w:pStyle w:val="3"/>
      </w:pPr>
      <w:bookmarkStart w:id="55" w:name="场景动态要素可信度评价指标"/>
      <w:bookmarkEnd w:id="54"/>
      <w:r>
        <w:t xml:space="preserve">5.4.3 </w:t>
      </w:r>
      <w:r>
        <w:rPr>
          <w:rFonts w:hint="eastAsia"/>
        </w:rPr>
        <w:t>场景动态要素可信度评价指标</w:t>
      </w:r>
    </w:p>
    <w:p w14:paraId="5F0949E7" w14:textId="77777777" w:rsidR="009B55B3" w:rsidRDefault="00CC309B">
      <w:pPr>
        <w:pStyle w:val="FirstParagraph"/>
      </w:pPr>
      <w:r>
        <w:rPr>
          <w:rFonts w:hint="eastAsia"/>
        </w:rPr>
        <w:t>场景动态要素可信度评价指标见表</w:t>
      </w:r>
      <w:r>
        <w:rPr>
          <w:rFonts w:hint="eastAsia"/>
        </w:rPr>
        <w:t>10</w:t>
      </w:r>
      <w:r>
        <w:rPr>
          <w:rFonts w:hint="eastAsia"/>
        </w:rPr>
        <w:t>。</w:t>
      </w:r>
    </w:p>
    <w:p w14:paraId="0265150A" w14:textId="77777777" w:rsidR="009B55B3" w:rsidRDefault="00CC309B">
      <w:pPr>
        <w:pStyle w:val="a0"/>
        <w:autoSpaceDE w:val="0"/>
        <w:autoSpaceDN w:val="0"/>
        <w:jc w:val="center"/>
      </w:pPr>
      <w:r>
        <w:rPr>
          <w:rFonts w:hint="eastAsia"/>
        </w:rPr>
        <w:t>表</w:t>
      </w:r>
      <w:r>
        <w:rPr>
          <w:rFonts w:hint="eastAsia"/>
        </w:rPr>
        <w:t>10</w:t>
      </w:r>
      <w:r>
        <w:t xml:space="preserve"> </w:t>
      </w:r>
      <w:r>
        <w:rPr>
          <w:rFonts w:hint="eastAsia"/>
        </w:rPr>
        <w:t>场景动态要素可信度评价指标</w:t>
      </w:r>
    </w:p>
    <w:tbl>
      <w:tblPr>
        <w:tblStyle w:val="Table"/>
        <w:tblW w:w="5000" w:type="pct"/>
        <w:jc w:val="center"/>
        <w:tblLook w:val="0020" w:firstRow="1" w:lastRow="0" w:firstColumn="0" w:lastColumn="0" w:noHBand="0" w:noVBand="0"/>
      </w:tblPr>
      <w:tblGrid>
        <w:gridCol w:w="929"/>
        <w:gridCol w:w="1000"/>
        <w:gridCol w:w="6691"/>
      </w:tblGrid>
      <w:tr w:rsidR="009B55B3" w14:paraId="46BBC2EF" w14:textId="77777777" w:rsidTr="009B55B3">
        <w:trPr>
          <w:cnfStyle w:val="100000000000" w:firstRow="1" w:lastRow="0" w:firstColumn="0" w:lastColumn="0" w:oddVBand="0" w:evenVBand="0" w:oddHBand="0" w:evenHBand="0" w:firstRowFirstColumn="0" w:firstRowLastColumn="0" w:lastRowFirstColumn="0" w:lastRowLastColumn="0"/>
          <w:jc w:val="center"/>
        </w:trPr>
        <w:tc>
          <w:tcPr>
            <w:tcW w:w="0" w:type="auto"/>
            <w:vAlign w:val="center"/>
          </w:tcPr>
          <w:p w14:paraId="7AE4C63E" w14:textId="77777777" w:rsidR="009B55B3" w:rsidRDefault="00CC309B">
            <w:pPr>
              <w:pStyle w:val="Compact"/>
              <w:spacing w:line="240" w:lineRule="auto"/>
              <w:jc w:val="center"/>
            </w:pPr>
            <w:r>
              <w:rPr>
                <w:rFonts w:hint="eastAsia"/>
                <w:b/>
                <w:bCs/>
              </w:rPr>
              <w:lastRenderedPageBreak/>
              <w:t>一级指标类别</w:t>
            </w:r>
          </w:p>
        </w:tc>
        <w:tc>
          <w:tcPr>
            <w:tcW w:w="0" w:type="auto"/>
            <w:vAlign w:val="center"/>
          </w:tcPr>
          <w:p w14:paraId="35963FC6" w14:textId="77777777" w:rsidR="009B55B3" w:rsidRDefault="00CC309B">
            <w:pPr>
              <w:pStyle w:val="Compact"/>
              <w:spacing w:line="240" w:lineRule="auto"/>
              <w:jc w:val="center"/>
              <w:cnfStyle w:val="000000000000" w:firstRow="0" w:lastRow="0" w:firstColumn="0" w:lastColumn="0" w:oddVBand="0" w:evenVBand="0" w:oddHBand="0" w:evenHBand="0" w:firstRowFirstColumn="0" w:firstRowLastColumn="0" w:lastRowFirstColumn="0" w:lastRowLastColumn="0"/>
            </w:pPr>
            <w:r>
              <w:rPr>
                <w:rFonts w:hint="eastAsia"/>
                <w:b/>
                <w:bCs/>
              </w:rPr>
              <w:t>二级指标项</w:t>
            </w:r>
          </w:p>
        </w:tc>
        <w:tc>
          <w:tcPr>
            <w:tcW w:w="0" w:type="auto"/>
            <w:vAlign w:val="center"/>
          </w:tcPr>
          <w:p w14:paraId="60195416" w14:textId="77777777" w:rsidR="009B55B3" w:rsidRDefault="00CC309B">
            <w:pPr>
              <w:pStyle w:val="Compact"/>
              <w:spacing w:line="240" w:lineRule="auto"/>
              <w:jc w:val="center"/>
              <w:cnfStyle w:val="000000000000" w:firstRow="0" w:lastRow="0" w:firstColumn="0" w:lastColumn="0" w:oddVBand="0" w:evenVBand="0" w:oddHBand="0" w:evenHBand="0" w:firstRowFirstColumn="0" w:firstRowLastColumn="0" w:lastRowFirstColumn="0" w:lastRowLastColumn="0"/>
            </w:pPr>
            <w:r>
              <w:rPr>
                <w:rFonts w:hint="eastAsia"/>
                <w:b/>
                <w:bCs/>
              </w:rPr>
              <w:t>指标要求</w:t>
            </w:r>
          </w:p>
        </w:tc>
      </w:tr>
      <w:tr w:rsidR="009B55B3" w14:paraId="2A787D35" w14:textId="77777777" w:rsidTr="009B55B3">
        <w:trPr>
          <w:jc w:val="center"/>
        </w:trPr>
        <w:tc>
          <w:tcPr>
            <w:tcW w:w="0" w:type="auto"/>
            <w:vAlign w:val="center"/>
          </w:tcPr>
          <w:p w14:paraId="2C3216BA" w14:textId="77777777" w:rsidR="009B55B3" w:rsidRDefault="00CC309B">
            <w:pPr>
              <w:pStyle w:val="Compact"/>
              <w:spacing w:line="240" w:lineRule="auto"/>
              <w:jc w:val="center"/>
            </w:pPr>
            <w:r>
              <w:rPr>
                <w:rFonts w:hint="eastAsia"/>
              </w:rPr>
              <w:t>动态目标覆盖</w:t>
            </w:r>
          </w:p>
        </w:tc>
        <w:tc>
          <w:tcPr>
            <w:tcW w:w="0" w:type="auto"/>
            <w:vAlign w:val="center"/>
          </w:tcPr>
          <w:p w14:paraId="189EB77D" w14:textId="77777777" w:rsidR="009B55B3" w:rsidRDefault="00CC309B">
            <w:pPr>
              <w:pStyle w:val="Compact"/>
              <w:spacing w:line="240" w:lineRule="auto"/>
              <w:jc w:val="center"/>
            </w:pPr>
            <w:r>
              <w:rPr>
                <w:rFonts w:hint="eastAsia"/>
              </w:rPr>
              <w:t>车辆目标</w:t>
            </w:r>
          </w:p>
        </w:tc>
        <w:tc>
          <w:tcPr>
            <w:tcW w:w="0" w:type="auto"/>
            <w:vAlign w:val="center"/>
          </w:tcPr>
          <w:p w14:paraId="1BF1E8B1" w14:textId="77777777" w:rsidR="009B55B3" w:rsidRDefault="00CC309B">
            <w:pPr>
              <w:pStyle w:val="Compact"/>
              <w:spacing w:line="240" w:lineRule="auto"/>
              <w:jc w:val="center"/>
            </w:pPr>
            <w:r>
              <w:rPr>
                <w:rFonts w:hint="eastAsia"/>
              </w:rPr>
              <w:t>应支持乘用车、商用车、公交车、工程车、应急车辆、故障车辆等车辆目标。</w:t>
            </w:r>
          </w:p>
        </w:tc>
      </w:tr>
      <w:tr w:rsidR="009B55B3" w14:paraId="78FA01A7" w14:textId="77777777" w:rsidTr="009B55B3">
        <w:trPr>
          <w:jc w:val="center"/>
        </w:trPr>
        <w:tc>
          <w:tcPr>
            <w:tcW w:w="0" w:type="auto"/>
            <w:vAlign w:val="center"/>
          </w:tcPr>
          <w:p w14:paraId="6B6828DA" w14:textId="77777777" w:rsidR="009B55B3" w:rsidRDefault="00CC309B">
            <w:pPr>
              <w:pStyle w:val="Compact"/>
              <w:spacing w:line="240" w:lineRule="auto"/>
              <w:jc w:val="center"/>
            </w:pPr>
            <w:r>
              <w:rPr>
                <w:rFonts w:hint="eastAsia"/>
              </w:rPr>
              <w:t>动态目标覆盖</w:t>
            </w:r>
          </w:p>
        </w:tc>
        <w:tc>
          <w:tcPr>
            <w:tcW w:w="0" w:type="auto"/>
            <w:vAlign w:val="center"/>
          </w:tcPr>
          <w:p w14:paraId="15F421CB" w14:textId="77777777" w:rsidR="009B55B3" w:rsidRDefault="00CC309B">
            <w:pPr>
              <w:pStyle w:val="Compact"/>
              <w:spacing w:line="240" w:lineRule="auto"/>
              <w:jc w:val="center"/>
            </w:pPr>
            <w:r>
              <w:rPr>
                <w:rFonts w:hint="eastAsia"/>
              </w:rPr>
              <w:t>弱势交通参与者</w:t>
            </w:r>
          </w:p>
        </w:tc>
        <w:tc>
          <w:tcPr>
            <w:tcW w:w="0" w:type="auto"/>
            <w:vAlign w:val="center"/>
          </w:tcPr>
          <w:p w14:paraId="51C1201E" w14:textId="77777777" w:rsidR="009B55B3" w:rsidRDefault="00CC309B">
            <w:pPr>
              <w:pStyle w:val="Compact"/>
              <w:spacing w:line="240" w:lineRule="auto"/>
              <w:jc w:val="center"/>
            </w:pPr>
            <w:r>
              <w:rPr>
                <w:rFonts w:hint="eastAsia"/>
              </w:rPr>
              <w:t>应支持行人、儿童、非机动车、摩托车、电动自行车等目标。</w:t>
            </w:r>
          </w:p>
        </w:tc>
      </w:tr>
      <w:tr w:rsidR="009B55B3" w14:paraId="28A6F2CD" w14:textId="77777777" w:rsidTr="009B55B3">
        <w:trPr>
          <w:jc w:val="center"/>
        </w:trPr>
        <w:tc>
          <w:tcPr>
            <w:tcW w:w="0" w:type="auto"/>
            <w:vAlign w:val="center"/>
          </w:tcPr>
          <w:p w14:paraId="2A1E4CF2" w14:textId="77777777" w:rsidR="009B55B3" w:rsidRDefault="00CC309B">
            <w:pPr>
              <w:pStyle w:val="Compact"/>
              <w:spacing w:line="240" w:lineRule="auto"/>
              <w:jc w:val="center"/>
            </w:pPr>
            <w:r>
              <w:rPr>
                <w:rFonts w:hint="eastAsia"/>
              </w:rPr>
              <w:t>动态目标覆盖</w:t>
            </w:r>
          </w:p>
        </w:tc>
        <w:tc>
          <w:tcPr>
            <w:tcW w:w="0" w:type="auto"/>
            <w:vAlign w:val="center"/>
          </w:tcPr>
          <w:p w14:paraId="677A9B55" w14:textId="77777777" w:rsidR="009B55B3" w:rsidRDefault="00CC309B">
            <w:pPr>
              <w:pStyle w:val="Compact"/>
              <w:spacing w:line="240" w:lineRule="auto"/>
              <w:jc w:val="center"/>
            </w:pPr>
            <w:r>
              <w:rPr>
                <w:rFonts w:hint="eastAsia"/>
              </w:rPr>
              <w:t>特殊目标</w:t>
            </w:r>
          </w:p>
        </w:tc>
        <w:tc>
          <w:tcPr>
            <w:tcW w:w="0" w:type="auto"/>
            <w:vAlign w:val="center"/>
          </w:tcPr>
          <w:p w14:paraId="65A5E74A" w14:textId="77777777" w:rsidR="009B55B3" w:rsidRDefault="00CC309B">
            <w:pPr>
              <w:pStyle w:val="Compact"/>
              <w:spacing w:line="240" w:lineRule="auto"/>
              <w:jc w:val="center"/>
            </w:pPr>
            <w:r>
              <w:rPr>
                <w:rFonts w:hint="eastAsia"/>
              </w:rPr>
              <w:t>宜支持动物、道路作业人员、临时障碍物、跌落物等特殊动态或半动态目标。</w:t>
            </w:r>
          </w:p>
        </w:tc>
      </w:tr>
      <w:tr w:rsidR="009B55B3" w14:paraId="18183D63" w14:textId="77777777" w:rsidTr="009B55B3">
        <w:trPr>
          <w:jc w:val="center"/>
        </w:trPr>
        <w:tc>
          <w:tcPr>
            <w:tcW w:w="0" w:type="auto"/>
            <w:vAlign w:val="center"/>
          </w:tcPr>
          <w:p w14:paraId="27BD720C" w14:textId="77777777" w:rsidR="009B55B3" w:rsidRDefault="00CC309B">
            <w:pPr>
              <w:pStyle w:val="Compact"/>
              <w:spacing w:line="240" w:lineRule="auto"/>
              <w:jc w:val="center"/>
            </w:pPr>
            <w:r>
              <w:rPr>
                <w:rFonts w:hint="eastAsia"/>
              </w:rPr>
              <w:t>目标物属性</w:t>
            </w:r>
          </w:p>
        </w:tc>
        <w:tc>
          <w:tcPr>
            <w:tcW w:w="0" w:type="auto"/>
            <w:vAlign w:val="center"/>
          </w:tcPr>
          <w:p w14:paraId="29CD0C74" w14:textId="77777777" w:rsidR="009B55B3" w:rsidRDefault="00CC309B">
            <w:pPr>
              <w:pStyle w:val="Compact"/>
              <w:spacing w:line="240" w:lineRule="auto"/>
              <w:jc w:val="center"/>
            </w:pPr>
            <w:r>
              <w:rPr>
                <w:rFonts w:hint="eastAsia"/>
              </w:rPr>
              <w:t>几何尺寸</w:t>
            </w:r>
          </w:p>
        </w:tc>
        <w:tc>
          <w:tcPr>
            <w:tcW w:w="0" w:type="auto"/>
            <w:vAlign w:val="center"/>
          </w:tcPr>
          <w:p w14:paraId="3A638CAB" w14:textId="77777777" w:rsidR="009B55B3" w:rsidRDefault="00CC309B">
            <w:pPr>
              <w:pStyle w:val="Compact"/>
              <w:spacing w:line="240" w:lineRule="auto"/>
              <w:jc w:val="center"/>
            </w:pPr>
            <w:r>
              <w:rPr>
                <w:rFonts w:hint="eastAsia"/>
              </w:rPr>
              <w:t>动态目标应具有合理的外形尺寸、包围盒和碰撞体，具体几何尺寸宜参考</w:t>
            </w:r>
            <w:r>
              <w:t xml:space="preserve"> GB/T 47025—2026 </w:t>
            </w:r>
            <w:r>
              <w:rPr>
                <w:rFonts w:hint="eastAsia"/>
              </w:rPr>
              <w:t>附录</w:t>
            </w:r>
            <w:r>
              <w:t xml:space="preserve"> B </w:t>
            </w:r>
            <w:r>
              <w:rPr>
                <w:rFonts w:hint="eastAsia"/>
              </w:rPr>
              <w:t>给出的</w:t>
            </w:r>
            <w:r>
              <w:t xml:space="preserve"> M1</w:t>
            </w:r>
            <w:r>
              <w:t>、</w:t>
            </w:r>
            <w:r>
              <w:t>N1</w:t>
            </w:r>
            <w:r>
              <w:t>、</w:t>
            </w:r>
            <w:r>
              <w:t xml:space="preserve">N3 </w:t>
            </w:r>
            <w:r>
              <w:rPr>
                <w:rFonts w:hint="eastAsia"/>
              </w:rPr>
              <w:t>类车辆、成人、儿童、摩托车、自行车等目标物推荐尺寸。</w:t>
            </w:r>
          </w:p>
        </w:tc>
      </w:tr>
      <w:tr w:rsidR="009B55B3" w14:paraId="6277655F" w14:textId="77777777" w:rsidTr="009B55B3">
        <w:trPr>
          <w:jc w:val="center"/>
        </w:trPr>
        <w:tc>
          <w:tcPr>
            <w:tcW w:w="0" w:type="auto"/>
            <w:vAlign w:val="center"/>
          </w:tcPr>
          <w:p w14:paraId="74F7BA74" w14:textId="77777777" w:rsidR="009B55B3" w:rsidRDefault="00CC309B">
            <w:pPr>
              <w:pStyle w:val="Compact"/>
              <w:spacing w:line="240" w:lineRule="auto"/>
              <w:jc w:val="center"/>
            </w:pPr>
            <w:r>
              <w:rPr>
                <w:rFonts w:hint="eastAsia"/>
              </w:rPr>
              <w:t>目标物属性</w:t>
            </w:r>
          </w:p>
        </w:tc>
        <w:tc>
          <w:tcPr>
            <w:tcW w:w="0" w:type="auto"/>
            <w:vAlign w:val="center"/>
          </w:tcPr>
          <w:p w14:paraId="5EB8FCE2" w14:textId="77777777" w:rsidR="009B55B3" w:rsidRDefault="00CC309B">
            <w:pPr>
              <w:pStyle w:val="Compact"/>
              <w:spacing w:line="240" w:lineRule="auto"/>
              <w:jc w:val="center"/>
            </w:pPr>
            <w:r>
              <w:rPr>
                <w:rFonts w:hint="eastAsia"/>
              </w:rPr>
              <w:t>外观特征</w:t>
            </w:r>
          </w:p>
        </w:tc>
        <w:tc>
          <w:tcPr>
            <w:tcW w:w="0" w:type="auto"/>
            <w:vAlign w:val="center"/>
          </w:tcPr>
          <w:p w14:paraId="79CA56F8" w14:textId="77777777" w:rsidR="009B55B3" w:rsidRDefault="00CC309B">
            <w:pPr>
              <w:pStyle w:val="Compact"/>
              <w:spacing w:line="240" w:lineRule="auto"/>
              <w:jc w:val="center"/>
            </w:pPr>
            <w:r>
              <w:rPr>
                <w:rFonts w:hint="eastAsia"/>
              </w:rPr>
              <w:t>目标物外观、颜色、材质、灯光状态、姿态变化等应能够支撑感知系统识别。</w:t>
            </w:r>
          </w:p>
        </w:tc>
      </w:tr>
      <w:tr w:rsidR="009B55B3" w14:paraId="5BC6395A" w14:textId="77777777" w:rsidTr="009B55B3">
        <w:trPr>
          <w:jc w:val="center"/>
        </w:trPr>
        <w:tc>
          <w:tcPr>
            <w:tcW w:w="0" w:type="auto"/>
            <w:vAlign w:val="center"/>
          </w:tcPr>
          <w:p w14:paraId="1978E254" w14:textId="77777777" w:rsidR="009B55B3" w:rsidRDefault="00CC309B">
            <w:pPr>
              <w:pStyle w:val="Compact"/>
              <w:spacing w:line="240" w:lineRule="auto"/>
              <w:jc w:val="center"/>
            </w:pPr>
            <w:r>
              <w:rPr>
                <w:rFonts w:hint="eastAsia"/>
              </w:rPr>
              <w:t>运动状态建模</w:t>
            </w:r>
          </w:p>
        </w:tc>
        <w:tc>
          <w:tcPr>
            <w:tcW w:w="0" w:type="auto"/>
            <w:vAlign w:val="center"/>
          </w:tcPr>
          <w:p w14:paraId="4D8F6ACF" w14:textId="77777777" w:rsidR="009B55B3" w:rsidRDefault="00CC309B">
            <w:pPr>
              <w:pStyle w:val="Compact"/>
              <w:spacing w:line="240" w:lineRule="auto"/>
              <w:jc w:val="center"/>
            </w:pPr>
            <w:r>
              <w:rPr>
                <w:rFonts w:hint="eastAsia"/>
              </w:rPr>
              <w:t>运动参数</w:t>
            </w:r>
          </w:p>
        </w:tc>
        <w:tc>
          <w:tcPr>
            <w:tcW w:w="0" w:type="auto"/>
            <w:vAlign w:val="center"/>
          </w:tcPr>
          <w:p w14:paraId="12016D2E" w14:textId="77777777" w:rsidR="009B55B3" w:rsidRDefault="00CC309B">
            <w:pPr>
              <w:pStyle w:val="Compact"/>
              <w:spacing w:line="240" w:lineRule="auto"/>
              <w:jc w:val="center"/>
            </w:pPr>
            <w:r>
              <w:rPr>
                <w:rFonts w:hint="eastAsia"/>
              </w:rPr>
              <w:t>应支持目标物位置、速度、加速度、航向角、转向角、轨迹、出发时间、停止时间等参数配置。</w:t>
            </w:r>
          </w:p>
        </w:tc>
      </w:tr>
      <w:tr w:rsidR="009B55B3" w14:paraId="5B687A1B" w14:textId="77777777" w:rsidTr="009B55B3">
        <w:trPr>
          <w:jc w:val="center"/>
        </w:trPr>
        <w:tc>
          <w:tcPr>
            <w:tcW w:w="0" w:type="auto"/>
            <w:vAlign w:val="center"/>
          </w:tcPr>
          <w:p w14:paraId="5E932203" w14:textId="77777777" w:rsidR="009B55B3" w:rsidRDefault="00CC309B">
            <w:pPr>
              <w:pStyle w:val="Compact"/>
              <w:spacing w:line="240" w:lineRule="auto"/>
              <w:jc w:val="center"/>
            </w:pPr>
            <w:r>
              <w:rPr>
                <w:rFonts w:hint="eastAsia"/>
              </w:rPr>
              <w:t>运动状态建模</w:t>
            </w:r>
          </w:p>
        </w:tc>
        <w:tc>
          <w:tcPr>
            <w:tcW w:w="0" w:type="auto"/>
            <w:vAlign w:val="center"/>
          </w:tcPr>
          <w:p w14:paraId="4D8CB1A5" w14:textId="77777777" w:rsidR="009B55B3" w:rsidRDefault="00CC309B">
            <w:pPr>
              <w:pStyle w:val="Compact"/>
              <w:spacing w:line="240" w:lineRule="auto"/>
              <w:jc w:val="center"/>
            </w:pPr>
            <w:r>
              <w:rPr>
                <w:rFonts w:hint="eastAsia"/>
              </w:rPr>
              <w:t>运动连续性</w:t>
            </w:r>
          </w:p>
        </w:tc>
        <w:tc>
          <w:tcPr>
            <w:tcW w:w="0" w:type="auto"/>
            <w:vAlign w:val="center"/>
          </w:tcPr>
          <w:p w14:paraId="2987D7A4" w14:textId="77777777" w:rsidR="009B55B3" w:rsidRDefault="00CC309B">
            <w:pPr>
              <w:pStyle w:val="Compact"/>
              <w:spacing w:line="240" w:lineRule="auto"/>
              <w:jc w:val="center"/>
            </w:pPr>
            <w:r>
              <w:rPr>
                <w:rFonts w:hint="eastAsia"/>
              </w:rPr>
              <w:t>动态目标运动过程应符合基本运动学规律，不应出现非物理瞬移、速度突变不连续、穿越实体障碍物等异常。</w:t>
            </w:r>
          </w:p>
        </w:tc>
      </w:tr>
      <w:tr w:rsidR="009B55B3" w14:paraId="286E0B94" w14:textId="77777777" w:rsidTr="009B55B3">
        <w:trPr>
          <w:jc w:val="center"/>
        </w:trPr>
        <w:tc>
          <w:tcPr>
            <w:tcW w:w="0" w:type="auto"/>
            <w:vAlign w:val="center"/>
          </w:tcPr>
          <w:p w14:paraId="52213B3E" w14:textId="77777777" w:rsidR="009B55B3" w:rsidRDefault="00CC309B">
            <w:pPr>
              <w:pStyle w:val="Compact"/>
              <w:spacing w:line="240" w:lineRule="auto"/>
              <w:jc w:val="center"/>
            </w:pPr>
            <w:r>
              <w:rPr>
                <w:rFonts w:hint="eastAsia"/>
              </w:rPr>
              <w:t>行为模型</w:t>
            </w:r>
          </w:p>
        </w:tc>
        <w:tc>
          <w:tcPr>
            <w:tcW w:w="0" w:type="auto"/>
            <w:vAlign w:val="center"/>
          </w:tcPr>
          <w:p w14:paraId="5FEAA6C4" w14:textId="77777777" w:rsidR="009B55B3" w:rsidRDefault="00CC309B">
            <w:pPr>
              <w:pStyle w:val="Compact"/>
              <w:spacing w:line="240" w:lineRule="auto"/>
              <w:jc w:val="center"/>
            </w:pPr>
            <w:r>
              <w:rPr>
                <w:rFonts w:hint="eastAsia"/>
              </w:rPr>
              <w:t>合规行为</w:t>
            </w:r>
          </w:p>
        </w:tc>
        <w:tc>
          <w:tcPr>
            <w:tcW w:w="0" w:type="auto"/>
            <w:vAlign w:val="center"/>
          </w:tcPr>
          <w:p w14:paraId="480CA6F6" w14:textId="77777777" w:rsidR="009B55B3" w:rsidRDefault="00CC309B">
            <w:pPr>
              <w:pStyle w:val="Compact"/>
              <w:spacing w:line="240" w:lineRule="auto"/>
              <w:jc w:val="center"/>
            </w:pPr>
            <w:r>
              <w:rPr>
                <w:rFonts w:hint="eastAsia"/>
              </w:rPr>
              <w:t>应支持跟驰、变道、转弯、掉头、停车、起步、让行、汇入、切出等正常交通行为。</w:t>
            </w:r>
          </w:p>
        </w:tc>
      </w:tr>
      <w:tr w:rsidR="009B55B3" w14:paraId="52C66455" w14:textId="77777777" w:rsidTr="009B55B3">
        <w:trPr>
          <w:jc w:val="center"/>
        </w:trPr>
        <w:tc>
          <w:tcPr>
            <w:tcW w:w="0" w:type="auto"/>
            <w:vAlign w:val="center"/>
          </w:tcPr>
          <w:p w14:paraId="20BEE8EF" w14:textId="77777777" w:rsidR="009B55B3" w:rsidRDefault="00CC309B">
            <w:pPr>
              <w:pStyle w:val="Compact"/>
              <w:spacing w:line="240" w:lineRule="auto"/>
              <w:jc w:val="center"/>
            </w:pPr>
            <w:r>
              <w:rPr>
                <w:rFonts w:hint="eastAsia"/>
              </w:rPr>
              <w:t>行为模型</w:t>
            </w:r>
          </w:p>
        </w:tc>
        <w:tc>
          <w:tcPr>
            <w:tcW w:w="0" w:type="auto"/>
            <w:vAlign w:val="center"/>
          </w:tcPr>
          <w:p w14:paraId="56FAED31" w14:textId="77777777" w:rsidR="009B55B3" w:rsidRDefault="00CC309B">
            <w:pPr>
              <w:pStyle w:val="Compact"/>
              <w:spacing w:line="240" w:lineRule="auto"/>
              <w:jc w:val="center"/>
            </w:pPr>
            <w:r>
              <w:rPr>
                <w:rFonts w:hint="eastAsia"/>
              </w:rPr>
              <w:t>不合规行为</w:t>
            </w:r>
          </w:p>
        </w:tc>
        <w:tc>
          <w:tcPr>
            <w:tcW w:w="0" w:type="auto"/>
            <w:vAlign w:val="center"/>
          </w:tcPr>
          <w:p w14:paraId="736A5EDE" w14:textId="77777777" w:rsidR="009B55B3" w:rsidRDefault="00CC309B">
            <w:pPr>
              <w:pStyle w:val="Compact"/>
              <w:spacing w:line="240" w:lineRule="auto"/>
              <w:jc w:val="center"/>
            </w:pPr>
            <w:r>
              <w:rPr>
                <w:rFonts w:hint="eastAsia"/>
              </w:rPr>
              <w:t>应支持闯红灯、逆行、抢行、占道、突然横穿、非机动车进入机动车道等不合规行为。</w:t>
            </w:r>
          </w:p>
        </w:tc>
      </w:tr>
      <w:tr w:rsidR="009B55B3" w14:paraId="00E60F93" w14:textId="77777777" w:rsidTr="009B55B3">
        <w:trPr>
          <w:jc w:val="center"/>
        </w:trPr>
        <w:tc>
          <w:tcPr>
            <w:tcW w:w="0" w:type="auto"/>
            <w:vAlign w:val="center"/>
          </w:tcPr>
          <w:p w14:paraId="2003EA1F" w14:textId="77777777" w:rsidR="009B55B3" w:rsidRDefault="00CC309B">
            <w:pPr>
              <w:pStyle w:val="Compact"/>
              <w:spacing w:line="240" w:lineRule="auto"/>
              <w:jc w:val="center"/>
            </w:pPr>
            <w:r>
              <w:rPr>
                <w:rFonts w:hint="eastAsia"/>
              </w:rPr>
              <w:t>行为模型</w:t>
            </w:r>
          </w:p>
        </w:tc>
        <w:tc>
          <w:tcPr>
            <w:tcW w:w="0" w:type="auto"/>
            <w:vAlign w:val="center"/>
          </w:tcPr>
          <w:p w14:paraId="5139678D" w14:textId="77777777" w:rsidR="009B55B3" w:rsidRDefault="00CC309B">
            <w:pPr>
              <w:pStyle w:val="Compact"/>
              <w:spacing w:line="240" w:lineRule="auto"/>
              <w:jc w:val="center"/>
            </w:pPr>
            <w:r>
              <w:rPr>
                <w:rFonts w:hint="eastAsia"/>
              </w:rPr>
              <w:t>行为突变</w:t>
            </w:r>
          </w:p>
        </w:tc>
        <w:tc>
          <w:tcPr>
            <w:tcW w:w="0" w:type="auto"/>
            <w:vAlign w:val="center"/>
          </w:tcPr>
          <w:p w14:paraId="22466038" w14:textId="77777777" w:rsidR="009B55B3" w:rsidRDefault="00CC309B">
            <w:pPr>
              <w:pStyle w:val="Compact"/>
              <w:spacing w:line="240" w:lineRule="auto"/>
              <w:jc w:val="center"/>
            </w:pPr>
            <w:r>
              <w:rPr>
                <w:rFonts w:hint="eastAsia"/>
              </w:rPr>
              <w:t>应支持急刹、突然加速、突然减速、突然变道、突然横穿、遮挡后突然出现等突变行为。</w:t>
            </w:r>
          </w:p>
        </w:tc>
      </w:tr>
      <w:tr w:rsidR="009B55B3" w14:paraId="2CED0B4D" w14:textId="77777777" w:rsidTr="009B55B3">
        <w:trPr>
          <w:jc w:val="center"/>
        </w:trPr>
        <w:tc>
          <w:tcPr>
            <w:tcW w:w="0" w:type="auto"/>
            <w:vAlign w:val="center"/>
          </w:tcPr>
          <w:p w14:paraId="14F03BF8" w14:textId="77777777" w:rsidR="009B55B3" w:rsidRDefault="00CC309B">
            <w:pPr>
              <w:pStyle w:val="Compact"/>
              <w:spacing w:line="240" w:lineRule="auto"/>
              <w:jc w:val="center"/>
            </w:pPr>
            <w:r>
              <w:rPr>
                <w:rFonts w:hint="eastAsia"/>
              </w:rPr>
              <w:lastRenderedPageBreak/>
              <w:t>遮挡与交互</w:t>
            </w:r>
          </w:p>
        </w:tc>
        <w:tc>
          <w:tcPr>
            <w:tcW w:w="0" w:type="auto"/>
            <w:vAlign w:val="center"/>
          </w:tcPr>
          <w:p w14:paraId="5F394A19" w14:textId="77777777" w:rsidR="009B55B3" w:rsidRDefault="00CC309B">
            <w:pPr>
              <w:pStyle w:val="Compact"/>
              <w:spacing w:line="240" w:lineRule="auto"/>
              <w:jc w:val="center"/>
            </w:pPr>
            <w:r>
              <w:rPr>
                <w:rFonts w:hint="eastAsia"/>
              </w:rPr>
              <w:t>遮挡关系</w:t>
            </w:r>
          </w:p>
        </w:tc>
        <w:tc>
          <w:tcPr>
            <w:tcW w:w="0" w:type="auto"/>
            <w:vAlign w:val="center"/>
          </w:tcPr>
          <w:p w14:paraId="33DC7E7B" w14:textId="77777777" w:rsidR="009B55B3" w:rsidRDefault="00CC309B">
            <w:pPr>
              <w:pStyle w:val="Compact"/>
              <w:spacing w:line="240" w:lineRule="auto"/>
              <w:jc w:val="center"/>
            </w:pPr>
            <w:r>
              <w:rPr>
                <w:rFonts w:hint="eastAsia"/>
              </w:rPr>
              <w:t>应支持车辆、公交车、建筑物、绿化带、施工围挡、路侧设施等造成的遮挡。</w:t>
            </w:r>
          </w:p>
        </w:tc>
      </w:tr>
      <w:tr w:rsidR="009B55B3" w14:paraId="3570E73B" w14:textId="77777777" w:rsidTr="009B55B3">
        <w:trPr>
          <w:jc w:val="center"/>
        </w:trPr>
        <w:tc>
          <w:tcPr>
            <w:tcW w:w="0" w:type="auto"/>
            <w:vAlign w:val="center"/>
          </w:tcPr>
          <w:p w14:paraId="1CD761EA" w14:textId="77777777" w:rsidR="009B55B3" w:rsidRDefault="00CC309B">
            <w:pPr>
              <w:pStyle w:val="Compact"/>
              <w:spacing w:line="240" w:lineRule="auto"/>
              <w:jc w:val="center"/>
            </w:pPr>
            <w:r>
              <w:rPr>
                <w:rFonts w:hint="eastAsia"/>
              </w:rPr>
              <w:t>遮挡与交互</w:t>
            </w:r>
          </w:p>
        </w:tc>
        <w:tc>
          <w:tcPr>
            <w:tcW w:w="0" w:type="auto"/>
            <w:vAlign w:val="center"/>
          </w:tcPr>
          <w:p w14:paraId="0DD418CA" w14:textId="77777777" w:rsidR="009B55B3" w:rsidRDefault="00CC309B">
            <w:pPr>
              <w:pStyle w:val="Compact"/>
              <w:spacing w:line="240" w:lineRule="auto"/>
              <w:jc w:val="center"/>
            </w:pPr>
            <w:r>
              <w:rPr>
                <w:rFonts w:hint="eastAsia"/>
              </w:rPr>
              <w:t>多主体交互</w:t>
            </w:r>
          </w:p>
        </w:tc>
        <w:tc>
          <w:tcPr>
            <w:tcW w:w="0" w:type="auto"/>
            <w:vAlign w:val="center"/>
          </w:tcPr>
          <w:p w14:paraId="1CC7BB80" w14:textId="77777777" w:rsidR="009B55B3" w:rsidRDefault="00CC309B">
            <w:pPr>
              <w:pStyle w:val="Compact"/>
              <w:spacing w:line="240" w:lineRule="auto"/>
              <w:jc w:val="center"/>
            </w:pPr>
            <w:r>
              <w:rPr>
                <w:rFonts w:hint="eastAsia"/>
              </w:rPr>
              <w:t>应支持主车与车辆、行人、非机动车之间的跟驰、让行、抢行、冲突、避让、并行、交叉等交互关系。</w:t>
            </w:r>
          </w:p>
        </w:tc>
      </w:tr>
      <w:tr w:rsidR="009B55B3" w14:paraId="625D5D64" w14:textId="77777777" w:rsidTr="009B55B3">
        <w:trPr>
          <w:jc w:val="center"/>
        </w:trPr>
        <w:tc>
          <w:tcPr>
            <w:tcW w:w="0" w:type="auto"/>
            <w:vAlign w:val="center"/>
          </w:tcPr>
          <w:p w14:paraId="47639215" w14:textId="77777777" w:rsidR="009B55B3" w:rsidRDefault="00CC309B">
            <w:pPr>
              <w:pStyle w:val="Compact"/>
              <w:spacing w:line="240" w:lineRule="auto"/>
              <w:jc w:val="center"/>
            </w:pPr>
            <w:r>
              <w:rPr>
                <w:rFonts w:hint="eastAsia"/>
              </w:rPr>
              <w:t>参数化与复现</w:t>
            </w:r>
          </w:p>
        </w:tc>
        <w:tc>
          <w:tcPr>
            <w:tcW w:w="0" w:type="auto"/>
            <w:vAlign w:val="center"/>
          </w:tcPr>
          <w:p w14:paraId="51E80CB0" w14:textId="77777777" w:rsidR="009B55B3" w:rsidRDefault="00CC309B">
            <w:pPr>
              <w:pStyle w:val="Compact"/>
              <w:spacing w:line="240" w:lineRule="auto"/>
              <w:jc w:val="center"/>
            </w:pPr>
            <w:r>
              <w:rPr>
                <w:rFonts w:hint="eastAsia"/>
              </w:rPr>
              <w:t>行为触发</w:t>
            </w:r>
          </w:p>
        </w:tc>
        <w:tc>
          <w:tcPr>
            <w:tcW w:w="0" w:type="auto"/>
            <w:vAlign w:val="center"/>
          </w:tcPr>
          <w:p w14:paraId="4E3BACB4" w14:textId="77777777" w:rsidR="009B55B3" w:rsidRDefault="00CC309B">
            <w:pPr>
              <w:pStyle w:val="Compact"/>
              <w:spacing w:line="240" w:lineRule="auto"/>
              <w:jc w:val="center"/>
            </w:pPr>
            <w:r>
              <w:rPr>
                <w:rFonts w:hint="eastAsia"/>
              </w:rPr>
              <w:t>动态行为应支持按时间、位置、速度、距离、</w:t>
            </w:r>
            <w:r>
              <w:rPr>
                <w:rFonts w:hint="eastAsia"/>
              </w:rPr>
              <w:t>TTC</w:t>
            </w:r>
            <w:r>
              <w:rPr>
                <w:rFonts w:hint="eastAsia"/>
              </w:rPr>
              <w:t>、目标状态等条件触发。</w:t>
            </w:r>
          </w:p>
        </w:tc>
      </w:tr>
      <w:tr w:rsidR="009B55B3" w14:paraId="6B01BB9B" w14:textId="77777777" w:rsidTr="009B55B3">
        <w:trPr>
          <w:jc w:val="center"/>
        </w:trPr>
        <w:tc>
          <w:tcPr>
            <w:tcW w:w="0" w:type="auto"/>
            <w:vAlign w:val="center"/>
          </w:tcPr>
          <w:p w14:paraId="32D4A3AA" w14:textId="77777777" w:rsidR="009B55B3" w:rsidRDefault="00CC309B">
            <w:pPr>
              <w:pStyle w:val="Compact"/>
              <w:spacing w:line="240" w:lineRule="auto"/>
              <w:jc w:val="center"/>
            </w:pPr>
            <w:r>
              <w:rPr>
                <w:rFonts w:hint="eastAsia"/>
              </w:rPr>
              <w:t>参数化与复现</w:t>
            </w:r>
          </w:p>
        </w:tc>
        <w:tc>
          <w:tcPr>
            <w:tcW w:w="0" w:type="auto"/>
            <w:vAlign w:val="center"/>
          </w:tcPr>
          <w:p w14:paraId="22977E89" w14:textId="77777777" w:rsidR="009B55B3" w:rsidRDefault="00CC309B">
            <w:pPr>
              <w:pStyle w:val="Compact"/>
              <w:spacing w:line="240" w:lineRule="auto"/>
              <w:jc w:val="center"/>
            </w:pPr>
            <w:r>
              <w:rPr>
                <w:rFonts w:hint="eastAsia"/>
              </w:rPr>
              <w:t>行为复现</w:t>
            </w:r>
          </w:p>
        </w:tc>
        <w:tc>
          <w:tcPr>
            <w:tcW w:w="0" w:type="auto"/>
            <w:vAlign w:val="center"/>
          </w:tcPr>
          <w:p w14:paraId="28DE1614" w14:textId="77777777" w:rsidR="009B55B3" w:rsidRDefault="00CC309B">
            <w:pPr>
              <w:pStyle w:val="Compact"/>
              <w:spacing w:line="240" w:lineRule="auto"/>
              <w:jc w:val="center"/>
            </w:pPr>
            <w:r>
              <w:rPr>
                <w:rFonts w:hint="eastAsia"/>
              </w:rPr>
              <w:t>在相同参数配置和随机种子条件下，动态目标行为过程应可重复执行。</w:t>
            </w:r>
          </w:p>
        </w:tc>
      </w:tr>
    </w:tbl>
    <w:p w14:paraId="3C8707F2" w14:textId="77777777" w:rsidR="009B55B3" w:rsidRDefault="00CC309B">
      <w:pPr>
        <w:pStyle w:val="3"/>
      </w:pPr>
      <w:bookmarkStart w:id="56" w:name="环境要素模型可信度评价指标"/>
      <w:bookmarkEnd w:id="55"/>
      <w:r>
        <w:t xml:space="preserve">5.4.4 </w:t>
      </w:r>
      <w:r>
        <w:rPr>
          <w:rFonts w:hint="eastAsia"/>
        </w:rPr>
        <w:t>环境要素模型可信度评价指标</w:t>
      </w:r>
    </w:p>
    <w:p w14:paraId="23489247" w14:textId="77777777" w:rsidR="009B55B3" w:rsidRDefault="00CC309B">
      <w:pPr>
        <w:pStyle w:val="FirstParagraph"/>
      </w:pPr>
      <w:r>
        <w:rPr>
          <w:rFonts w:hint="eastAsia"/>
        </w:rPr>
        <w:t>环境要素模型可信度评价指标见表</w:t>
      </w:r>
      <w:r>
        <w:rPr>
          <w:rFonts w:hint="eastAsia"/>
        </w:rPr>
        <w:t>11</w:t>
      </w:r>
      <w:r>
        <w:rPr>
          <w:rFonts w:hint="eastAsia"/>
        </w:rPr>
        <w:t>。</w:t>
      </w:r>
    </w:p>
    <w:p w14:paraId="32206C96" w14:textId="77777777" w:rsidR="009B55B3" w:rsidRDefault="00CC309B">
      <w:pPr>
        <w:pStyle w:val="a0"/>
        <w:autoSpaceDE w:val="0"/>
        <w:autoSpaceDN w:val="0"/>
        <w:jc w:val="center"/>
      </w:pPr>
      <w:r>
        <w:rPr>
          <w:rFonts w:hint="eastAsia"/>
        </w:rPr>
        <w:t>表</w:t>
      </w:r>
      <w:r>
        <w:rPr>
          <w:rFonts w:hint="eastAsia"/>
        </w:rPr>
        <w:t>11</w:t>
      </w:r>
      <w:r>
        <w:t xml:space="preserve"> </w:t>
      </w:r>
      <w:r>
        <w:rPr>
          <w:rFonts w:hint="eastAsia"/>
        </w:rPr>
        <w:t>环境要素模型可信度评价指标</w:t>
      </w:r>
    </w:p>
    <w:tbl>
      <w:tblPr>
        <w:tblStyle w:val="Table"/>
        <w:tblW w:w="5000" w:type="pct"/>
        <w:jc w:val="center"/>
        <w:tblLook w:val="0020" w:firstRow="1" w:lastRow="0" w:firstColumn="0" w:lastColumn="0" w:noHBand="0" w:noVBand="0"/>
      </w:tblPr>
      <w:tblGrid>
        <w:gridCol w:w="1112"/>
        <w:gridCol w:w="1002"/>
        <w:gridCol w:w="6506"/>
      </w:tblGrid>
      <w:tr w:rsidR="009B55B3" w14:paraId="3FE583C0" w14:textId="77777777" w:rsidTr="009B55B3">
        <w:trPr>
          <w:cnfStyle w:val="100000000000" w:firstRow="1" w:lastRow="0" w:firstColumn="0" w:lastColumn="0" w:oddVBand="0" w:evenVBand="0" w:oddHBand="0" w:evenHBand="0" w:firstRowFirstColumn="0" w:firstRowLastColumn="0" w:lastRowFirstColumn="0" w:lastRowLastColumn="0"/>
          <w:jc w:val="center"/>
        </w:trPr>
        <w:tc>
          <w:tcPr>
            <w:tcW w:w="0" w:type="auto"/>
            <w:vAlign w:val="center"/>
          </w:tcPr>
          <w:p w14:paraId="20F27236" w14:textId="77777777" w:rsidR="009B55B3" w:rsidRDefault="00CC309B">
            <w:pPr>
              <w:pStyle w:val="Compact"/>
              <w:spacing w:line="240" w:lineRule="auto"/>
              <w:jc w:val="center"/>
            </w:pPr>
            <w:r>
              <w:rPr>
                <w:rFonts w:hint="eastAsia"/>
                <w:b/>
                <w:bCs/>
              </w:rPr>
              <w:t>一级指标类别</w:t>
            </w:r>
          </w:p>
        </w:tc>
        <w:tc>
          <w:tcPr>
            <w:tcW w:w="0" w:type="auto"/>
            <w:vAlign w:val="center"/>
          </w:tcPr>
          <w:p w14:paraId="1014528B" w14:textId="77777777" w:rsidR="009B55B3" w:rsidRDefault="00CC309B">
            <w:pPr>
              <w:pStyle w:val="Compact"/>
              <w:spacing w:line="240" w:lineRule="auto"/>
              <w:jc w:val="center"/>
              <w:cnfStyle w:val="000000000000" w:firstRow="0" w:lastRow="0" w:firstColumn="0" w:lastColumn="0" w:oddVBand="0" w:evenVBand="0" w:oddHBand="0" w:evenHBand="0" w:firstRowFirstColumn="0" w:firstRowLastColumn="0" w:lastRowFirstColumn="0" w:lastRowLastColumn="0"/>
            </w:pPr>
            <w:r>
              <w:rPr>
                <w:rFonts w:hint="eastAsia"/>
                <w:b/>
                <w:bCs/>
              </w:rPr>
              <w:t>二级指标项</w:t>
            </w:r>
          </w:p>
        </w:tc>
        <w:tc>
          <w:tcPr>
            <w:tcW w:w="0" w:type="auto"/>
            <w:vAlign w:val="center"/>
          </w:tcPr>
          <w:p w14:paraId="76AF5890" w14:textId="77777777" w:rsidR="009B55B3" w:rsidRDefault="00CC309B">
            <w:pPr>
              <w:pStyle w:val="Compact"/>
              <w:spacing w:line="240" w:lineRule="auto"/>
              <w:jc w:val="center"/>
              <w:cnfStyle w:val="000000000000" w:firstRow="0" w:lastRow="0" w:firstColumn="0" w:lastColumn="0" w:oddVBand="0" w:evenVBand="0" w:oddHBand="0" w:evenHBand="0" w:firstRowFirstColumn="0" w:firstRowLastColumn="0" w:lastRowFirstColumn="0" w:lastRowLastColumn="0"/>
            </w:pPr>
            <w:r>
              <w:rPr>
                <w:rFonts w:hint="eastAsia"/>
                <w:b/>
                <w:bCs/>
              </w:rPr>
              <w:t>指标要求</w:t>
            </w:r>
          </w:p>
        </w:tc>
      </w:tr>
      <w:tr w:rsidR="009B55B3" w14:paraId="57DB54C5" w14:textId="77777777" w:rsidTr="009B55B3">
        <w:trPr>
          <w:jc w:val="center"/>
        </w:trPr>
        <w:tc>
          <w:tcPr>
            <w:tcW w:w="0" w:type="auto"/>
            <w:vAlign w:val="center"/>
          </w:tcPr>
          <w:p w14:paraId="62FC24E7" w14:textId="77777777" w:rsidR="009B55B3" w:rsidRDefault="00CC309B">
            <w:pPr>
              <w:pStyle w:val="Compact"/>
              <w:spacing w:line="240" w:lineRule="auto"/>
              <w:jc w:val="center"/>
            </w:pPr>
            <w:r>
              <w:rPr>
                <w:rFonts w:hint="eastAsia"/>
              </w:rPr>
              <w:t>气象环境</w:t>
            </w:r>
          </w:p>
        </w:tc>
        <w:tc>
          <w:tcPr>
            <w:tcW w:w="0" w:type="auto"/>
            <w:vAlign w:val="center"/>
          </w:tcPr>
          <w:p w14:paraId="7E20AF0B" w14:textId="77777777" w:rsidR="009B55B3" w:rsidRDefault="00CC309B">
            <w:pPr>
              <w:pStyle w:val="Compact"/>
              <w:spacing w:line="240" w:lineRule="auto"/>
              <w:jc w:val="center"/>
            </w:pPr>
            <w:r>
              <w:rPr>
                <w:rFonts w:hint="eastAsia"/>
              </w:rPr>
              <w:t>天气类型</w:t>
            </w:r>
          </w:p>
        </w:tc>
        <w:tc>
          <w:tcPr>
            <w:tcW w:w="0" w:type="auto"/>
            <w:vAlign w:val="center"/>
          </w:tcPr>
          <w:p w14:paraId="46E8463C" w14:textId="77777777" w:rsidR="009B55B3" w:rsidRDefault="00CC309B">
            <w:pPr>
              <w:pStyle w:val="Compact"/>
              <w:spacing w:line="240" w:lineRule="auto"/>
              <w:jc w:val="center"/>
            </w:pPr>
            <w:r>
              <w:rPr>
                <w:rFonts w:hint="eastAsia"/>
              </w:rPr>
              <w:t>应支持晴、阴、雨、雪、雾、冰、霾等天气条件。山地道路、桥隧道路等场景宜支持团雾、强降雨、路面结冰等特殊环境。</w:t>
            </w:r>
          </w:p>
        </w:tc>
      </w:tr>
      <w:tr w:rsidR="009B55B3" w14:paraId="1C26AE50" w14:textId="77777777" w:rsidTr="009B55B3">
        <w:trPr>
          <w:jc w:val="center"/>
        </w:trPr>
        <w:tc>
          <w:tcPr>
            <w:tcW w:w="0" w:type="auto"/>
            <w:vAlign w:val="center"/>
          </w:tcPr>
          <w:p w14:paraId="144FF5C4" w14:textId="77777777" w:rsidR="009B55B3" w:rsidRDefault="00CC309B">
            <w:pPr>
              <w:pStyle w:val="Compact"/>
              <w:spacing w:line="240" w:lineRule="auto"/>
              <w:jc w:val="center"/>
            </w:pPr>
            <w:r>
              <w:rPr>
                <w:rFonts w:hint="eastAsia"/>
              </w:rPr>
              <w:t>气象环境</w:t>
            </w:r>
          </w:p>
        </w:tc>
        <w:tc>
          <w:tcPr>
            <w:tcW w:w="0" w:type="auto"/>
            <w:vAlign w:val="center"/>
          </w:tcPr>
          <w:p w14:paraId="5A941EC4" w14:textId="77777777" w:rsidR="009B55B3" w:rsidRDefault="00CC309B">
            <w:pPr>
              <w:pStyle w:val="Compact"/>
              <w:spacing w:line="240" w:lineRule="auto"/>
              <w:jc w:val="center"/>
            </w:pPr>
            <w:r>
              <w:rPr>
                <w:rFonts w:hint="eastAsia"/>
              </w:rPr>
              <w:t>气象参数</w:t>
            </w:r>
          </w:p>
        </w:tc>
        <w:tc>
          <w:tcPr>
            <w:tcW w:w="0" w:type="auto"/>
            <w:vAlign w:val="center"/>
          </w:tcPr>
          <w:p w14:paraId="7F6D38BD" w14:textId="77777777" w:rsidR="009B55B3" w:rsidRDefault="00CC309B">
            <w:pPr>
              <w:pStyle w:val="Compact"/>
              <w:spacing w:line="240" w:lineRule="auto"/>
              <w:jc w:val="center"/>
            </w:pPr>
            <w:r>
              <w:rPr>
                <w:rFonts w:hint="eastAsia"/>
              </w:rPr>
              <w:t>应支持能见度、降雨强度、降雪强度、雾浓度、湿度、风速、风向等参数配置。</w:t>
            </w:r>
          </w:p>
        </w:tc>
      </w:tr>
      <w:tr w:rsidR="009B55B3" w14:paraId="60F7BB4C" w14:textId="77777777" w:rsidTr="009B55B3">
        <w:trPr>
          <w:jc w:val="center"/>
        </w:trPr>
        <w:tc>
          <w:tcPr>
            <w:tcW w:w="0" w:type="auto"/>
            <w:vAlign w:val="center"/>
          </w:tcPr>
          <w:p w14:paraId="12F9EC16" w14:textId="77777777" w:rsidR="009B55B3" w:rsidRDefault="00CC309B">
            <w:pPr>
              <w:pStyle w:val="Compact"/>
              <w:spacing w:line="240" w:lineRule="auto"/>
              <w:jc w:val="center"/>
            </w:pPr>
            <w:r>
              <w:rPr>
                <w:rFonts w:hint="eastAsia"/>
              </w:rPr>
              <w:t>光照环境</w:t>
            </w:r>
          </w:p>
        </w:tc>
        <w:tc>
          <w:tcPr>
            <w:tcW w:w="0" w:type="auto"/>
            <w:vAlign w:val="center"/>
          </w:tcPr>
          <w:p w14:paraId="18E2C43D" w14:textId="77777777" w:rsidR="009B55B3" w:rsidRDefault="00CC309B">
            <w:pPr>
              <w:pStyle w:val="Compact"/>
              <w:spacing w:line="240" w:lineRule="auto"/>
              <w:jc w:val="center"/>
            </w:pPr>
            <w:r>
              <w:rPr>
                <w:rFonts w:hint="eastAsia"/>
              </w:rPr>
              <w:t>时间变化</w:t>
            </w:r>
          </w:p>
        </w:tc>
        <w:tc>
          <w:tcPr>
            <w:tcW w:w="0" w:type="auto"/>
            <w:vAlign w:val="center"/>
          </w:tcPr>
          <w:p w14:paraId="4E8F0D22" w14:textId="77777777" w:rsidR="009B55B3" w:rsidRDefault="00CC309B">
            <w:pPr>
              <w:pStyle w:val="Compact"/>
              <w:spacing w:line="240" w:lineRule="auto"/>
              <w:jc w:val="center"/>
            </w:pPr>
            <w:r>
              <w:rPr>
                <w:rFonts w:hint="eastAsia"/>
              </w:rPr>
              <w:t>应支持白天、黄昏、夜间、黎明等不同时间条件。</w:t>
            </w:r>
          </w:p>
        </w:tc>
      </w:tr>
      <w:tr w:rsidR="009B55B3" w14:paraId="181CA90A" w14:textId="77777777" w:rsidTr="009B55B3">
        <w:trPr>
          <w:jc w:val="center"/>
        </w:trPr>
        <w:tc>
          <w:tcPr>
            <w:tcW w:w="0" w:type="auto"/>
            <w:vAlign w:val="center"/>
          </w:tcPr>
          <w:p w14:paraId="1AD94CAC" w14:textId="77777777" w:rsidR="009B55B3" w:rsidRDefault="00CC309B">
            <w:pPr>
              <w:pStyle w:val="Compact"/>
              <w:spacing w:line="240" w:lineRule="auto"/>
              <w:jc w:val="center"/>
            </w:pPr>
            <w:r>
              <w:rPr>
                <w:rFonts w:hint="eastAsia"/>
              </w:rPr>
              <w:t>光照环境</w:t>
            </w:r>
          </w:p>
        </w:tc>
        <w:tc>
          <w:tcPr>
            <w:tcW w:w="0" w:type="auto"/>
            <w:vAlign w:val="center"/>
          </w:tcPr>
          <w:p w14:paraId="1D5F11D7" w14:textId="77777777" w:rsidR="009B55B3" w:rsidRDefault="00CC309B">
            <w:pPr>
              <w:pStyle w:val="Compact"/>
              <w:spacing w:line="240" w:lineRule="auto"/>
              <w:jc w:val="center"/>
            </w:pPr>
            <w:r>
              <w:rPr>
                <w:rFonts w:hint="eastAsia"/>
              </w:rPr>
              <w:t>光照强度</w:t>
            </w:r>
          </w:p>
        </w:tc>
        <w:tc>
          <w:tcPr>
            <w:tcW w:w="0" w:type="auto"/>
            <w:vAlign w:val="center"/>
          </w:tcPr>
          <w:p w14:paraId="633C3726" w14:textId="77777777" w:rsidR="009B55B3" w:rsidRDefault="00CC309B">
            <w:pPr>
              <w:pStyle w:val="Compact"/>
              <w:spacing w:line="240" w:lineRule="auto"/>
              <w:jc w:val="center"/>
            </w:pPr>
            <w:r>
              <w:rPr>
                <w:rFonts w:hint="eastAsia"/>
              </w:rPr>
              <w:t>应支持光照强度、太阳高度角、太阳方位角、逆光、眩光、阴影等参数配置。</w:t>
            </w:r>
          </w:p>
        </w:tc>
      </w:tr>
      <w:tr w:rsidR="009B55B3" w14:paraId="4B4CC4C6" w14:textId="77777777" w:rsidTr="009B55B3">
        <w:trPr>
          <w:jc w:val="center"/>
        </w:trPr>
        <w:tc>
          <w:tcPr>
            <w:tcW w:w="0" w:type="auto"/>
            <w:vAlign w:val="center"/>
          </w:tcPr>
          <w:p w14:paraId="1E8D9E41" w14:textId="77777777" w:rsidR="009B55B3" w:rsidRDefault="00CC309B">
            <w:pPr>
              <w:pStyle w:val="Compact"/>
              <w:spacing w:line="240" w:lineRule="auto"/>
              <w:jc w:val="center"/>
            </w:pPr>
            <w:r>
              <w:rPr>
                <w:rFonts w:hint="eastAsia"/>
              </w:rPr>
              <w:t>光照环境</w:t>
            </w:r>
          </w:p>
        </w:tc>
        <w:tc>
          <w:tcPr>
            <w:tcW w:w="0" w:type="auto"/>
            <w:vAlign w:val="center"/>
          </w:tcPr>
          <w:p w14:paraId="39FCF13D" w14:textId="77777777" w:rsidR="009B55B3" w:rsidRDefault="00CC309B">
            <w:pPr>
              <w:pStyle w:val="Compact"/>
              <w:spacing w:line="240" w:lineRule="auto"/>
              <w:jc w:val="center"/>
            </w:pPr>
            <w:r>
              <w:rPr>
                <w:rFonts w:hint="eastAsia"/>
              </w:rPr>
              <w:t>明暗突变</w:t>
            </w:r>
          </w:p>
        </w:tc>
        <w:tc>
          <w:tcPr>
            <w:tcW w:w="0" w:type="auto"/>
            <w:vAlign w:val="center"/>
          </w:tcPr>
          <w:p w14:paraId="37BF91E5" w14:textId="77777777" w:rsidR="009B55B3" w:rsidRDefault="00CC309B">
            <w:pPr>
              <w:pStyle w:val="Compact"/>
              <w:spacing w:line="240" w:lineRule="auto"/>
              <w:jc w:val="center"/>
            </w:pPr>
            <w:r>
              <w:rPr>
                <w:rFonts w:hint="eastAsia"/>
              </w:rPr>
              <w:t>应支持隧道出入口、桥梁下方、建筑阴影、山体遮挡等明暗快速变化场景。</w:t>
            </w:r>
          </w:p>
        </w:tc>
      </w:tr>
      <w:tr w:rsidR="009B55B3" w14:paraId="2283AF66" w14:textId="77777777" w:rsidTr="009B55B3">
        <w:trPr>
          <w:jc w:val="center"/>
        </w:trPr>
        <w:tc>
          <w:tcPr>
            <w:tcW w:w="0" w:type="auto"/>
            <w:vAlign w:val="center"/>
          </w:tcPr>
          <w:p w14:paraId="5B25BDD0" w14:textId="77777777" w:rsidR="009B55B3" w:rsidRDefault="00CC309B">
            <w:pPr>
              <w:pStyle w:val="Compact"/>
              <w:spacing w:line="240" w:lineRule="auto"/>
              <w:jc w:val="center"/>
            </w:pPr>
            <w:r>
              <w:rPr>
                <w:rFonts w:hint="eastAsia"/>
              </w:rPr>
              <w:lastRenderedPageBreak/>
              <w:t>路面环境</w:t>
            </w:r>
          </w:p>
        </w:tc>
        <w:tc>
          <w:tcPr>
            <w:tcW w:w="0" w:type="auto"/>
            <w:vAlign w:val="center"/>
          </w:tcPr>
          <w:p w14:paraId="51EFC541" w14:textId="77777777" w:rsidR="009B55B3" w:rsidRDefault="00CC309B">
            <w:pPr>
              <w:pStyle w:val="Compact"/>
              <w:spacing w:line="240" w:lineRule="auto"/>
              <w:jc w:val="center"/>
            </w:pPr>
            <w:r>
              <w:rPr>
                <w:rFonts w:hint="eastAsia"/>
              </w:rPr>
              <w:t>路面材料</w:t>
            </w:r>
          </w:p>
        </w:tc>
        <w:tc>
          <w:tcPr>
            <w:tcW w:w="0" w:type="auto"/>
            <w:vAlign w:val="center"/>
          </w:tcPr>
          <w:p w14:paraId="766F2FA4" w14:textId="77777777" w:rsidR="009B55B3" w:rsidRDefault="00CC309B">
            <w:pPr>
              <w:pStyle w:val="Compact"/>
              <w:spacing w:line="240" w:lineRule="auto"/>
              <w:jc w:val="center"/>
            </w:pPr>
            <w:r>
              <w:rPr>
                <w:rFonts w:hint="eastAsia"/>
              </w:rPr>
              <w:t>应支持沥青、混凝土、积雪、结冰、积水、湿滑等路面材料或状态。</w:t>
            </w:r>
          </w:p>
        </w:tc>
      </w:tr>
      <w:tr w:rsidR="009B55B3" w14:paraId="43C34FD2" w14:textId="77777777" w:rsidTr="009B55B3">
        <w:trPr>
          <w:jc w:val="center"/>
        </w:trPr>
        <w:tc>
          <w:tcPr>
            <w:tcW w:w="0" w:type="auto"/>
            <w:vAlign w:val="center"/>
          </w:tcPr>
          <w:p w14:paraId="30ECA99B" w14:textId="77777777" w:rsidR="009B55B3" w:rsidRDefault="00CC309B">
            <w:pPr>
              <w:pStyle w:val="Compact"/>
              <w:spacing w:line="240" w:lineRule="auto"/>
              <w:jc w:val="center"/>
            </w:pPr>
            <w:r>
              <w:rPr>
                <w:rFonts w:hint="eastAsia"/>
              </w:rPr>
              <w:t>路面环境</w:t>
            </w:r>
          </w:p>
        </w:tc>
        <w:tc>
          <w:tcPr>
            <w:tcW w:w="0" w:type="auto"/>
            <w:vAlign w:val="center"/>
          </w:tcPr>
          <w:p w14:paraId="02337914" w14:textId="77777777" w:rsidR="009B55B3" w:rsidRDefault="00CC309B">
            <w:pPr>
              <w:pStyle w:val="Compact"/>
              <w:spacing w:line="240" w:lineRule="auto"/>
              <w:jc w:val="center"/>
            </w:pPr>
            <w:r>
              <w:rPr>
                <w:rFonts w:hint="eastAsia"/>
              </w:rPr>
              <w:t>附着系数</w:t>
            </w:r>
          </w:p>
        </w:tc>
        <w:tc>
          <w:tcPr>
            <w:tcW w:w="0" w:type="auto"/>
            <w:vAlign w:val="center"/>
          </w:tcPr>
          <w:p w14:paraId="0BB8989C" w14:textId="77777777" w:rsidR="009B55B3" w:rsidRDefault="00CC309B">
            <w:pPr>
              <w:pStyle w:val="Compact"/>
              <w:spacing w:line="240" w:lineRule="auto"/>
              <w:jc w:val="center"/>
            </w:pPr>
            <w:r>
              <w:rPr>
                <w:rFonts w:hint="eastAsia"/>
              </w:rPr>
              <w:t>路面摩擦系数应可配置，并应与车辆动力学模型联动。</w:t>
            </w:r>
          </w:p>
        </w:tc>
      </w:tr>
    </w:tbl>
    <w:p w14:paraId="36DA1022" w14:textId="77777777" w:rsidR="009B55B3" w:rsidRDefault="00CC309B">
      <w:pPr>
        <w:pStyle w:val="3"/>
      </w:pPr>
      <w:bookmarkStart w:id="57" w:name="场景突发事件要素模型可信度评价指标"/>
      <w:bookmarkEnd w:id="56"/>
      <w:r>
        <w:t xml:space="preserve">5.4.5 </w:t>
      </w:r>
      <w:r>
        <w:rPr>
          <w:rFonts w:hint="eastAsia"/>
        </w:rPr>
        <w:t>场景突发事件要素模型可信度评价指标</w:t>
      </w:r>
    </w:p>
    <w:p w14:paraId="66A9C5A3" w14:textId="77777777" w:rsidR="009B55B3" w:rsidRDefault="00CC309B">
      <w:pPr>
        <w:pStyle w:val="FirstParagraph"/>
      </w:pPr>
      <w:r>
        <w:rPr>
          <w:rFonts w:hint="eastAsia"/>
        </w:rPr>
        <w:t>场景突发事件要素模型可信度评价指标见表</w:t>
      </w:r>
      <w:r>
        <w:rPr>
          <w:rFonts w:hint="eastAsia"/>
        </w:rPr>
        <w:t>12</w:t>
      </w:r>
      <w:r>
        <w:rPr>
          <w:rFonts w:hint="eastAsia"/>
        </w:rPr>
        <w:t>。</w:t>
      </w:r>
    </w:p>
    <w:p w14:paraId="1A0FDD87" w14:textId="77777777" w:rsidR="009B55B3" w:rsidRDefault="00CC309B">
      <w:pPr>
        <w:pStyle w:val="a0"/>
        <w:autoSpaceDE w:val="0"/>
        <w:autoSpaceDN w:val="0"/>
        <w:jc w:val="center"/>
      </w:pPr>
      <w:r>
        <w:rPr>
          <w:rFonts w:hint="eastAsia"/>
        </w:rPr>
        <w:t>表</w:t>
      </w:r>
      <w:r>
        <w:rPr>
          <w:rFonts w:hint="eastAsia"/>
        </w:rPr>
        <w:t>12</w:t>
      </w:r>
      <w:r>
        <w:t xml:space="preserve"> </w:t>
      </w:r>
      <w:r>
        <w:rPr>
          <w:rFonts w:hint="eastAsia"/>
        </w:rPr>
        <w:t>场景突发事件要素模型可信度评价指标</w:t>
      </w:r>
    </w:p>
    <w:tbl>
      <w:tblPr>
        <w:tblStyle w:val="Table"/>
        <w:tblW w:w="5000" w:type="pct"/>
        <w:jc w:val="center"/>
        <w:tblLook w:val="0020" w:firstRow="1" w:lastRow="0" w:firstColumn="0" w:lastColumn="0" w:noHBand="0" w:noVBand="0"/>
      </w:tblPr>
      <w:tblGrid>
        <w:gridCol w:w="1130"/>
        <w:gridCol w:w="1242"/>
        <w:gridCol w:w="6248"/>
      </w:tblGrid>
      <w:tr w:rsidR="009B55B3" w14:paraId="03D47DCF" w14:textId="77777777" w:rsidTr="009B55B3">
        <w:trPr>
          <w:cnfStyle w:val="100000000000" w:firstRow="1" w:lastRow="0" w:firstColumn="0" w:lastColumn="0" w:oddVBand="0" w:evenVBand="0" w:oddHBand="0" w:evenHBand="0" w:firstRowFirstColumn="0" w:firstRowLastColumn="0" w:lastRowFirstColumn="0" w:lastRowLastColumn="0"/>
          <w:jc w:val="center"/>
        </w:trPr>
        <w:tc>
          <w:tcPr>
            <w:tcW w:w="0" w:type="auto"/>
            <w:vAlign w:val="center"/>
          </w:tcPr>
          <w:p w14:paraId="6DB23951" w14:textId="77777777" w:rsidR="009B55B3" w:rsidRDefault="00CC309B">
            <w:pPr>
              <w:pStyle w:val="Compact"/>
              <w:spacing w:line="240" w:lineRule="auto"/>
              <w:jc w:val="center"/>
            </w:pPr>
            <w:r>
              <w:rPr>
                <w:rFonts w:hint="eastAsia"/>
                <w:b/>
                <w:bCs/>
              </w:rPr>
              <w:t>一级指标类别</w:t>
            </w:r>
          </w:p>
        </w:tc>
        <w:tc>
          <w:tcPr>
            <w:tcW w:w="0" w:type="auto"/>
            <w:vAlign w:val="center"/>
          </w:tcPr>
          <w:p w14:paraId="694DB7E2" w14:textId="77777777" w:rsidR="009B55B3" w:rsidRDefault="00CC309B">
            <w:pPr>
              <w:pStyle w:val="Compact"/>
              <w:spacing w:line="240" w:lineRule="auto"/>
              <w:jc w:val="center"/>
              <w:cnfStyle w:val="000000000000" w:firstRow="0" w:lastRow="0" w:firstColumn="0" w:lastColumn="0" w:oddVBand="0" w:evenVBand="0" w:oddHBand="0" w:evenHBand="0" w:firstRowFirstColumn="0" w:firstRowLastColumn="0" w:lastRowFirstColumn="0" w:lastRowLastColumn="0"/>
            </w:pPr>
            <w:r>
              <w:rPr>
                <w:rFonts w:hint="eastAsia"/>
                <w:b/>
                <w:bCs/>
              </w:rPr>
              <w:t>二级指标项</w:t>
            </w:r>
          </w:p>
        </w:tc>
        <w:tc>
          <w:tcPr>
            <w:tcW w:w="0" w:type="auto"/>
            <w:vAlign w:val="center"/>
          </w:tcPr>
          <w:p w14:paraId="659442D3" w14:textId="77777777" w:rsidR="009B55B3" w:rsidRDefault="00CC309B">
            <w:pPr>
              <w:pStyle w:val="Compact"/>
              <w:spacing w:line="240" w:lineRule="auto"/>
              <w:jc w:val="center"/>
              <w:cnfStyle w:val="000000000000" w:firstRow="0" w:lastRow="0" w:firstColumn="0" w:lastColumn="0" w:oddVBand="0" w:evenVBand="0" w:oddHBand="0" w:evenHBand="0" w:firstRowFirstColumn="0" w:firstRowLastColumn="0" w:lastRowFirstColumn="0" w:lastRowLastColumn="0"/>
            </w:pPr>
            <w:r>
              <w:rPr>
                <w:rFonts w:hint="eastAsia"/>
                <w:b/>
                <w:bCs/>
              </w:rPr>
              <w:t>指标要求</w:t>
            </w:r>
          </w:p>
        </w:tc>
      </w:tr>
      <w:tr w:rsidR="009B55B3" w14:paraId="0275824A" w14:textId="77777777" w:rsidTr="009B55B3">
        <w:trPr>
          <w:jc w:val="center"/>
        </w:trPr>
        <w:tc>
          <w:tcPr>
            <w:tcW w:w="0" w:type="auto"/>
            <w:vAlign w:val="center"/>
          </w:tcPr>
          <w:p w14:paraId="09EB29EC" w14:textId="77777777" w:rsidR="009B55B3" w:rsidRDefault="00CC309B">
            <w:pPr>
              <w:pStyle w:val="Compact"/>
              <w:spacing w:line="240" w:lineRule="auto"/>
              <w:jc w:val="center"/>
            </w:pPr>
            <w:r>
              <w:rPr>
                <w:rFonts w:hint="eastAsia"/>
              </w:rPr>
              <w:t>事件类型覆盖</w:t>
            </w:r>
          </w:p>
        </w:tc>
        <w:tc>
          <w:tcPr>
            <w:tcW w:w="0" w:type="auto"/>
            <w:vAlign w:val="center"/>
          </w:tcPr>
          <w:p w14:paraId="1DB3ED4C" w14:textId="77777777" w:rsidR="009B55B3" w:rsidRDefault="00CC309B">
            <w:pPr>
              <w:pStyle w:val="Compact"/>
              <w:spacing w:line="240" w:lineRule="auto"/>
              <w:jc w:val="center"/>
            </w:pPr>
            <w:r>
              <w:rPr>
                <w:rFonts w:hint="eastAsia"/>
              </w:rPr>
              <w:t>交通运行事件</w:t>
            </w:r>
          </w:p>
        </w:tc>
        <w:tc>
          <w:tcPr>
            <w:tcW w:w="0" w:type="auto"/>
            <w:vAlign w:val="center"/>
          </w:tcPr>
          <w:p w14:paraId="1AA336AE" w14:textId="77777777" w:rsidR="009B55B3" w:rsidRDefault="00CC309B">
            <w:pPr>
              <w:pStyle w:val="Compact"/>
              <w:spacing w:line="240" w:lineRule="auto"/>
              <w:jc w:val="center"/>
            </w:pPr>
            <w:r>
              <w:rPr>
                <w:rFonts w:hint="eastAsia"/>
              </w:rPr>
              <w:t>应支持交通拥堵、车辆急停、车辆故障、车辆低速行驶、车辆异常变道等事件。</w:t>
            </w:r>
          </w:p>
        </w:tc>
      </w:tr>
      <w:tr w:rsidR="009B55B3" w14:paraId="094FF94F" w14:textId="77777777" w:rsidTr="009B55B3">
        <w:trPr>
          <w:jc w:val="center"/>
        </w:trPr>
        <w:tc>
          <w:tcPr>
            <w:tcW w:w="0" w:type="auto"/>
            <w:vAlign w:val="center"/>
          </w:tcPr>
          <w:p w14:paraId="7113F286" w14:textId="77777777" w:rsidR="009B55B3" w:rsidRDefault="00CC309B">
            <w:pPr>
              <w:pStyle w:val="Compact"/>
              <w:spacing w:line="240" w:lineRule="auto"/>
              <w:jc w:val="center"/>
            </w:pPr>
            <w:r>
              <w:rPr>
                <w:rFonts w:hint="eastAsia"/>
              </w:rPr>
              <w:t>事件类型覆盖</w:t>
            </w:r>
          </w:p>
        </w:tc>
        <w:tc>
          <w:tcPr>
            <w:tcW w:w="0" w:type="auto"/>
            <w:vAlign w:val="center"/>
          </w:tcPr>
          <w:p w14:paraId="254BEDE1" w14:textId="77777777" w:rsidR="009B55B3" w:rsidRDefault="00CC309B">
            <w:pPr>
              <w:pStyle w:val="Compact"/>
              <w:spacing w:line="240" w:lineRule="auto"/>
              <w:jc w:val="center"/>
            </w:pPr>
            <w:r>
              <w:rPr>
                <w:rFonts w:hint="eastAsia"/>
              </w:rPr>
              <w:t>交通事故事件</w:t>
            </w:r>
          </w:p>
        </w:tc>
        <w:tc>
          <w:tcPr>
            <w:tcW w:w="0" w:type="auto"/>
            <w:vAlign w:val="center"/>
          </w:tcPr>
          <w:p w14:paraId="6CF18A35" w14:textId="77777777" w:rsidR="009B55B3" w:rsidRDefault="00CC309B">
            <w:pPr>
              <w:pStyle w:val="Compact"/>
              <w:spacing w:line="240" w:lineRule="auto"/>
              <w:jc w:val="center"/>
            </w:pPr>
            <w:r>
              <w:rPr>
                <w:rFonts w:hint="eastAsia"/>
              </w:rPr>
              <w:t>应支持追尾、侧碰、单车事故、事故车辆占道、事故后排队等事件。</w:t>
            </w:r>
          </w:p>
        </w:tc>
      </w:tr>
      <w:tr w:rsidR="009B55B3" w14:paraId="10FB48D9" w14:textId="77777777" w:rsidTr="009B55B3">
        <w:trPr>
          <w:jc w:val="center"/>
        </w:trPr>
        <w:tc>
          <w:tcPr>
            <w:tcW w:w="0" w:type="auto"/>
            <w:vAlign w:val="center"/>
          </w:tcPr>
          <w:p w14:paraId="5C1C0E75" w14:textId="77777777" w:rsidR="009B55B3" w:rsidRDefault="00CC309B">
            <w:pPr>
              <w:pStyle w:val="Compact"/>
              <w:spacing w:line="240" w:lineRule="auto"/>
              <w:jc w:val="center"/>
            </w:pPr>
            <w:r>
              <w:rPr>
                <w:rFonts w:hint="eastAsia"/>
              </w:rPr>
              <w:t>事件类型覆盖</w:t>
            </w:r>
          </w:p>
        </w:tc>
        <w:tc>
          <w:tcPr>
            <w:tcW w:w="0" w:type="auto"/>
            <w:vAlign w:val="center"/>
          </w:tcPr>
          <w:p w14:paraId="3B6398A3" w14:textId="77777777" w:rsidR="009B55B3" w:rsidRDefault="00CC309B">
            <w:pPr>
              <w:pStyle w:val="Compact"/>
              <w:spacing w:line="240" w:lineRule="auto"/>
              <w:jc w:val="center"/>
            </w:pPr>
            <w:r>
              <w:rPr>
                <w:rFonts w:hint="eastAsia"/>
              </w:rPr>
              <w:t>交通管制事件</w:t>
            </w:r>
          </w:p>
        </w:tc>
        <w:tc>
          <w:tcPr>
            <w:tcW w:w="0" w:type="auto"/>
            <w:vAlign w:val="center"/>
          </w:tcPr>
          <w:p w14:paraId="76E381E6" w14:textId="77777777" w:rsidR="009B55B3" w:rsidRDefault="00CC309B">
            <w:pPr>
              <w:pStyle w:val="Compact"/>
              <w:spacing w:line="240" w:lineRule="auto"/>
              <w:jc w:val="center"/>
            </w:pPr>
            <w:r>
              <w:rPr>
                <w:rFonts w:hint="eastAsia"/>
              </w:rPr>
              <w:t>应支持施工占道、临时封路、交通管制、应急车道占用、大型活动交通组织等事件。</w:t>
            </w:r>
          </w:p>
        </w:tc>
      </w:tr>
      <w:tr w:rsidR="009B55B3" w14:paraId="27F8CB6A" w14:textId="77777777" w:rsidTr="009B55B3">
        <w:trPr>
          <w:jc w:val="center"/>
        </w:trPr>
        <w:tc>
          <w:tcPr>
            <w:tcW w:w="0" w:type="auto"/>
            <w:vAlign w:val="center"/>
          </w:tcPr>
          <w:p w14:paraId="13265CB7" w14:textId="77777777" w:rsidR="009B55B3" w:rsidRDefault="00CC309B">
            <w:pPr>
              <w:pStyle w:val="Compact"/>
              <w:spacing w:line="240" w:lineRule="auto"/>
              <w:jc w:val="center"/>
            </w:pPr>
            <w:r>
              <w:rPr>
                <w:rFonts w:hint="eastAsia"/>
              </w:rPr>
              <w:t>事件类型覆盖</w:t>
            </w:r>
          </w:p>
        </w:tc>
        <w:tc>
          <w:tcPr>
            <w:tcW w:w="0" w:type="auto"/>
            <w:vAlign w:val="center"/>
          </w:tcPr>
          <w:p w14:paraId="41BF8E94" w14:textId="77777777" w:rsidR="009B55B3" w:rsidRDefault="00CC309B">
            <w:pPr>
              <w:pStyle w:val="Compact"/>
              <w:spacing w:line="240" w:lineRule="auto"/>
              <w:jc w:val="center"/>
            </w:pPr>
            <w:r>
              <w:rPr>
                <w:rFonts w:hint="eastAsia"/>
              </w:rPr>
              <w:t>特殊环境事件</w:t>
            </w:r>
          </w:p>
        </w:tc>
        <w:tc>
          <w:tcPr>
            <w:tcW w:w="0" w:type="auto"/>
            <w:vAlign w:val="center"/>
          </w:tcPr>
          <w:p w14:paraId="6CCDA326" w14:textId="77777777" w:rsidR="009B55B3" w:rsidRDefault="00CC309B">
            <w:pPr>
              <w:pStyle w:val="Compact"/>
              <w:spacing w:line="240" w:lineRule="auto"/>
              <w:jc w:val="center"/>
            </w:pPr>
            <w:r>
              <w:rPr>
                <w:rFonts w:hint="eastAsia"/>
              </w:rPr>
              <w:t>应支持桥梁横风、隧道事故、山体落石、积水、结冰、团雾等事件。</w:t>
            </w:r>
          </w:p>
        </w:tc>
      </w:tr>
      <w:tr w:rsidR="009B55B3" w14:paraId="7F5E0893" w14:textId="77777777" w:rsidTr="009B55B3">
        <w:trPr>
          <w:jc w:val="center"/>
        </w:trPr>
        <w:tc>
          <w:tcPr>
            <w:tcW w:w="0" w:type="auto"/>
            <w:vAlign w:val="center"/>
          </w:tcPr>
          <w:p w14:paraId="0EA0567C" w14:textId="77777777" w:rsidR="009B55B3" w:rsidRDefault="00CC309B">
            <w:pPr>
              <w:pStyle w:val="Compact"/>
              <w:spacing w:line="240" w:lineRule="auto"/>
              <w:jc w:val="center"/>
            </w:pPr>
            <w:r>
              <w:rPr>
                <w:rFonts w:hint="eastAsia"/>
              </w:rPr>
              <w:t>触发机制</w:t>
            </w:r>
          </w:p>
        </w:tc>
        <w:tc>
          <w:tcPr>
            <w:tcW w:w="0" w:type="auto"/>
            <w:vAlign w:val="center"/>
          </w:tcPr>
          <w:p w14:paraId="382296A2" w14:textId="77777777" w:rsidR="009B55B3" w:rsidRDefault="00CC309B">
            <w:pPr>
              <w:pStyle w:val="Compact"/>
              <w:spacing w:line="240" w:lineRule="auto"/>
              <w:jc w:val="center"/>
            </w:pPr>
            <w:r>
              <w:rPr>
                <w:rFonts w:hint="eastAsia"/>
              </w:rPr>
              <w:t>时间触发</w:t>
            </w:r>
          </w:p>
        </w:tc>
        <w:tc>
          <w:tcPr>
            <w:tcW w:w="0" w:type="auto"/>
            <w:vAlign w:val="center"/>
          </w:tcPr>
          <w:p w14:paraId="21F9988C" w14:textId="77777777" w:rsidR="009B55B3" w:rsidRDefault="00CC309B">
            <w:pPr>
              <w:pStyle w:val="Compact"/>
              <w:spacing w:line="240" w:lineRule="auto"/>
              <w:jc w:val="center"/>
            </w:pPr>
            <w:r>
              <w:rPr>
                <w:rFonts w:hint="eastAsia"/>
              </w:rPr>
              <w:t>应支持在指定仿真时间触发事件。</w:t>
            </w:r>
          </w:p>
        </w:tc>
      </w:tr>
      <w:tr w:rsidR="009B55B3" w14:paraId="2CD0D66F" w14:textId="77777777" w:rsidTr="009B55B3">
        <w:trPr>
          <w:jc w:val="center"/>
        </w:trPr>
        <w:tc>
          <w:tcPr>
            <w:tcW w:w="0" w:type="auto"/>
            <w:vAlign w:val="center"/>
          </w:tcPr>
          <w:p w14:paraId="557BE7D0" w14:textId="77777777" w:rsidR="009B55B3" w:rsidRDefault="00CC309B">
            <w:pPr>
              <w:pStyle w:val="Compact"/>
              <w:spacing w:line="240" w:lineRule="auto"/>
              <w:jc w:val="center"/>
            </w:pPr>
            <w:r>
              <w:rPr>
                <w:rFonts w:hint="eastAsia"/>
              </w:rPr>
              <w:t>触发机制</w:t>
            </w:r>
          </w:p>
        </w:tc>
        <w:tc>
          <w:tcPr>
            <w:tcW w:w="0" w:type="auto"/>
            <w:vAlign w:val="center"/>
          </w:tcPr>
          <w:p w14:paraId="0D78EC82" w14:textId="77777777" w:rsidR="009B55B3" w:rsidRDefault="00CC309B">
            <w:pPr>
              <w:pStyle w:val="Compact"/>
              <w:spacing w:line="240" w:lineRule="auto"/>
              <w:jc w:val="center"/>
            </w:pPr>
            <w:r>
              <w:rPr>
                <w:rFonts w:hint="eastAsia"/>
              </w:rPr>
              <w:t>空间触发</w:t>
            </w:r>
          </w:p>
        </w:tc>
        <w:tc>
          <w:tcPr>
            <w:tcW w:w="0" w:type="auto"/>
            <w:vAlign w:val="center"/>
          </w:tcPr>
          <w:p w14:paraId="7315F7D0" w14:textId="77777777" w:rsidR="009B55B3" w:rsidRDefault="00CC309B">
            <w:pPr>
              <w:pStyle w:val="Compact"/>
              <w:spacing w:line="240" w:lineRule="auto"/>
              <w:jc w:val="center"/>
            </w:pPr>
            <w:r>
              <w:rPr>
                <w:rFonts w:hint="eastAsia"/>
              </w:rPr>
              <w:t>应支持主车或目标进入指定区域、距离指定位置达到阈值时触发事件。</w:t>
            </w:r>
          </w:p>
        </w:tc>
      </w:tr>
      <w:tr w:rsidR="009B55B3" w14:paraId="3C8E7A7A" w14:textId="77777777" w:rsidTr="009B55B3">
        <w:trPr>
          <w:jc w:val="center"/>
        </w:trPr>
        <w:tc>
          <w:tcPr>
            <w:tcW w:w="0" w:type="auto"/>
            <w:vAlign w:val="center"/>
          </w:tcPr>
          <w:p w14:paraId="62BF1B24" w14:textId="77777777" w:rsidR="009B55B3" w:rsidRDefault="00CC309B">
            <w:pPr>
              <w:pStyle w:val="Compact"/>
              <w:spacing w:line="240" w:lineRule="auto"/>
              <w:jc w:val="center"/>
            </w:pPr>
            <w:r>
              <w:rPr>
                <w:rFonts w:hint="eastAsia"/>
              </w:rPr>
              <w:t>触发机制</w:t>
            </w:r>
          </w:p>
        </w:tc>
        <w:tc>
          <w:tcPr>
            <w:tcW w:w="0" w:type="auto"/>
            <w:vAlign w:val="center"/>
          </w:tcPr>
          <w:p w14:paraId="58812478" w14:textId="77777777" w:rsidR="009B55B3" w:rsidRDefault="00CC309B">
            <w:pPr>
              <w:pStyle w:val="Compact"/>
              <w:spacing w:line="240" w:lineRule="auto"/>
              <w:jc w:val="center"/>
            </w:pPr>
            <w:r>
              <w:rPr>
                <w:rFonts w:hint="eastAsia"/>
              </w:rPr>
              <w:t>状态触发</w:t>
            </w:r>
          </w:p>
        </w:tc>
        <w:tc>
          <w:tcPr>
            <w:tcW w:w="0" w:type="auto"/>
            <w:vAlign w:val="center"/>
          </w:tcPr>
          <w:p w14:paraId="6D60FB1D" w14:textId="77777777" w:rsidR="009B55B3" w:rsidRDefault="00CC309B">
            <w:pPr>
              <w:pStyle w:val="Compact"/>
              <w:spacing w:line="240" w:lineRule="auto"/>
              <w:jc w:val="center"/>
            </w:pPr>
            <w:r>
              <w:rPr>
                <w:rFonts w:hint="eastAsia"/>
              </w:rPr>
              <w:t>应支持基于速度、加速度、距离、</w:t>
            </w:r>
            <w:r>
              <w:rPr>
                <w:rFonts w:hint="eastAsia"/>
              </w:rPr>
              <w:t>TTC</w:t>
            </w:r>
            <w:r>
              <w:rPr>
                <w:rFonts w:hint="eastAsia"/>
              </w:rPr>
              <w:t>、车道占用、交通流密度等状态触发事件。</w:t>
            </w:r>
          </w:p>
        </w:tc>
      </w:tr>
      <w:tr w:rsidR="009B55B3" w14:paraId="68D1E317" w14:textId="77777777" w:rsidTr="009B55B3">
        <w:trPr>
          <w:jc w:val="center"/>
        </w:trPr>
        <w:tc>
          <w:tcPr>
            <w:tcW w:w="0" w:type="auto"/>
            <w:vAlign w:val="center"/>
          </w:tcPr>
          <w:p w14:paraId="40FD665F" w14:textId="77777777" w:rsidR="009B55B3" w:rsidRDefault="00CC309B">
            <w:pPr>
              <w:pStyle w:val="Compact"/>
              <w:spacing w:line="240" w:lineRule="auto"/>
              <w:jc w:val="center"/>
            </w:pPr>
            <w:r>
              <w:rPr>
                <w:rFonts w:hint="eastAsia"/>
              </w:rPr>
              <w:t>触发机制</w:t>
            </w:r>
          </w:p>
        </w:tc>
        <w:tc>
          <w:tcPr>
            <w:tcW w:w="0" w:type="auto"/>
            <w:vAlign w:val="center"/>
          </w:tcPr>
          <w:p w14:paraId="544D325D" w14:textId="77777777" w:rsidR="009B55B3" w:rsidRDefault="00CC309B">
            <w:pPr>
              <w:pStyle w:val="Compact"/>
              <w:spacing w:line="240" w:lineRule="auto"/>
              <w:jc w:val="center"/>
            </w:pPr>
            <w:r>
              <w:rPr>
                <w:rFonts w:hint="eastAsia"/>
              </w:rPr>
              <w:t>组合触发</w:t>
            </w:r>
          </w:p>
        </w:tc>
        <w:tc>
          <w:tcPr>
            <w:tcW w:w="0" w:type="auto"/>
            <w:vAlign w:val="center"/>
          </w:tcPr>
          <w:p w14:paraId="3091EA2F" w14:textId="77777777" w:rsidR="009B55B3" w:rsidRDefault="00CC309B">
            <w:pPr>
              <w:pStyle w:val="Compact"/>
              <w:spacing w:line="240" w:lineRule="auto"/>
              <w:jc w:val="center"/>
            </w:pPr>
            <w:r>
              <w:rPr>
                <w:rFonts w:hint="eastAsia"/>
              </w:rPr>
              <w:t>应支持时间、空间、状态多条件组合触发。</w:t>
            </w:r>
          </w:p>
        </w:tc>
      </w:tr>
      <w:tr w:rsidR="009B55B3" w14:paraId="17CF11FF" w14:textId="77777777" w:rsidTr="009B55B3">
        <w:trPr>
          <w:jc w:val="center"/>
        </w:trPr>
        <w:tc>
          <w:tcPr>
            <w:tcW w:w="0" w:type="auto"/>
            <w:vAlign w:val="center"/>
          </w:tcPr>
          <w:p w14:paraId="5701D746" w14:textId="77777777" w:rsidR="009B55B3" w:rsidRDefault="00CC309B">
            <w:pPr>
              <w:pStyle w:val="Compact"/>
              <w:spacing w:line="240" w:lineRule="auto"/>
              <w:jc w:val="center"/>
            </w:pPr>
            <w:r>
              <w:rPr>
                <w:rFonts w:hint="eastAsia"/>
              </w:rPr>
              <w:t>事件演化</w:t>
            </w:r>
          </w:p>
        </w:tc>
        <w:tc>
          <w:tcPr>
            <w:tcW w:w="0" w:type="auto"/>
            <w:vAlign w:val="center"/>
          </w:tcPr>
          <w:p w14:paraId="7CAC842C" w14:textId="77777777" w:rsidR="009B55B3" w:rsidRDefault="00CC309B">
            <w:pPr>
              <w:pStyle w:val="Compact"/>
              <w:spacing w:line="240" w:lineRule="auto"/>
              <w:jc w:val="center"/>
            </w:pPr>
            <w:r>
              <w:rPr>
                <w:rFonts w:hint="eastAsia"/>
              </w:rPr>
              <w:t>发生过程</w:t>
            </w:r>
          </w:p>
        </w:tc>
        <w:tc>
          <w:tcPr>
            <w:tcW w:w="0" w:type="auto"/>
            <w:vAlign w:val="center"/>
          </w:tcPr>
          <w:p w14:paraId="015793D5" w14:textId="77777777" w:rsidR="009B55B3" w:rsidRDefault="00CC309B">
            <w:pPr>
              <w:pStyle w:val="Compact"/>
              <w:spacing w:line="240" w:lineRule="auto"/>
              <w:jc w:val="center"/>
            </w:pPr>
            <w:r>
              <w:rPr>
                <w:rFonts w:hint="eastAsia"/>
              </w:rPr>
              <w:t>应支持事件从发生、发展、影响扩大到解除的全过程建模。</w:t>
            </w:r>
          </w:p>
        </w:tc>
      </w:tr>
      <w:tr w:rsidR="009B55B3" w14:paraId="5D984B4A" w14:textId="77777777" w:rsidTr="009B55B3">
        <w:trPr>
          <w:jc w:val="center"/>
        </w:trPr>
        <w:tc>
          <w:tcPr>
            <w:tcW w:w="0" w:type="auto"/>
            <w:vAlign w:val="center"/>
          </w:tcPr>
          <w:p w14:paraId="7DF21F47" w14:textId="77777777" w:rsidR="009B55B3" w:rsidRDefault="00CC309B">
            <w:pPr>
              <w:pStyle w:val="Compact"/>
              <w:spacing w:line="240" w:lineRule="auto"/>
              <w:jc w:val="center"/>
            </w:pPr>
            <w:r>
              <w:rPr>
                <w:rFonts w:hint="eastAsia"/>
              </w:rPr>
              <w:lastRenderedPageBreak/>
              <w:t>事件演化</w:t>
            </w:r>
          </w:p>
        </w:tc>
        <w:tc>
          <w:tcPr>
            <w:tcW w:w="0" w:type="auto"/>
            <w:vAlign w:val="center"/>
          </w:tcPr>
          <w:p w14:paraId="4CA6E29D" w14:textId="77777777" w:rsidR="009B55B3" w:rsidRDefault="00CC309B">
            <w:pPr>
              <w:pStyle w:val="Compact"/>
              <w:spacing w:line="240" w:lineRule="auto"/>
              <w:jc w:val="center"/>
            </w:pPr>
            <w:r>
              <w:rPr>
                <w:rFonts w:hint="eastAsia"/>
              </w:rPr>
              <w:t>行为变化</w:t>
            </w:r>
          </w:p>
        </w:tc>
        <w:tc>
          <w:tcPr>
            <w:tcW w:w="0" w:type="auto"/>
            <w:vAlign w:val="center"/>
          </w:tcPr>
          <w:p w14:paraId="39506DFD" w14:textId="77777777" w:rsidR="009B55B3" w:rsidRDefault="00CC309B">
            <w:pPr>
              <w:pStyle w:val="Compact"/>
              <w:spacing w:line="240" w:lineRule="auto"/>
              <w:jc w:val="center"/>
            </w:pPr>
            <w:r>
              <w:rPr>
                <w:rFonts w:hint="eastAsia"/>
              </w:rPr>
              <w:t>应支持事件前后车辆、行人、非机动车、交通流状态的变化，例如急刹、换道、排队、绕行、停车等。</w:t>
            </w:r>
          </w:p>
        </w:tc>
      </w:tr>
      <w:tr w:rsidR="009B55B3" w14:paraId="46A54279" w14:textId="77777777" w:rsidTr="009B55B3">
        <w:trPr>
          <w:jc w:val="center"/>
        </w:trPr>
        <w:tc>
          <w:tcPr>
            <w:tcW w:w="0" w:type="auto"/>
            <w:vAlign w:val="center"/>
          </w:tcPr>
          <w:p w14:paraId="368D418E" w14:textId="77777777" w:rsidR="009B55B3" w:rsidRDefault="00CC309B">
            <w:pPr>
              <w:pStyle w:val="Compact"/>
              <w:spacing w:line="240" w:lineRule="auto"/>
              <w:jc w:val="center"/>
            </w:pPr>
            <w:r>
              <w:rPr>
                <w:rFonts w:hint="eastAsia"/>
              </w:rPr>
              <w:t>事件联动</w:t>
            </w:r>
          </w:p>
        </w:tc>
        <w:tc>
          <w:tcPr>
            <w:tcW w:w="0" w:type="auto"/>
            <w:vAlign w:val="center"/>
          </w:tcPr>
          <w:p w14:paraId="6418BF19" w14:textId="77777777" w:rsidR="009B55B3" w:rsidRDefault="00CC309B">
            <w:pPr>
              <w:pStyle w:val="Compact"/>
              <w:spacing w:line="240" w:lineRule="auto"/>
              <w:jc w:val="center"/>
            </w:pPr>
            <w:r>
              <w:rPr>
                <w:rFonts w:hint="eastAsia"/>
              </w:rPr>
              <w:t>交通流联动</w:t>
            </w:r>
          </w:p>
        </w:tc>
        <w:tc>
          <w:tcPr>
            <w:tcW w:w="0" w:type="auto"/>
            <w:vAlign w:val="center"/>
          </w:tcPr>
          <w:p w14:paraId="24680C1C" w14:textId="77777777" w:rsidR="009B55B3" w:rsidRDefault="00CC309B">
            <w:pPr>
              <w:pStyle w:val="Compact"/>
              <w:spacing w:line="240" w:lineRule="auto"/>
              <w:jc w:val="center"/>
            </w:pPr>
            <w:r>
              <w:rPr>
                <w:rFonts w:hint="eastAsia"/>
              </w:rPr>
              <w:t>突发事件应能够影响周边交通参与者行为和交通流状态。</w:t>
            </w:r>
          </w:p>
        </w:tc>
      </w:tr>
      <w:tr w:rsidR="009B55B3" w14:paraId="2B51F248" w14:textId="77777777" w:rsidTr="009B55B3">
        <w:trPr>
          <w:jc w:val="center"/>
        </w:trPr>
        <w:tc>
          <w:tcPr>
            <w:tcW w:w="0" w:type="auto"/>
            <w:vAlign w:val="center"/>
          </w:tcPr>
          <w:p w14:paraId="4CF3ED8E" w14:textId="77777777" w:rsidR="009B55B3" w:rsidRDefault="00CC309B">
            <w:pPr>
              <w:pStyle w:val="Compact"/>
              <w:spacing w:line="240" w:lineRule="auto"/>
              <w:jc w:val="center"/>
            </w:pPr>
            <w:r>
              <w:rPr>
                <w:rFonts w:hint="eastAsia"/>
              </w:rPr>
              <w:t>事件联动</w:t>
            </w:r>
          </w:p>
        </w:tc>
        <w:tc>
          <w:tcPr>
            <w:tcW w:w="0" w:type="auto"/>
            <w:vAlign w:val="center"/>
          </w:tcPr>
          <w:p w14:paraId="44ED3302" w14:textId="77777777" w:rsidR="009B55B3" w:rsidRDefault="00CC309B">
            <w:pPr>
              <w:pStyle w:val="Compact"/>
              <w:spacing w:line="240" w:lineRule="auto"/>
              <w:jc w:val="center"/>
            </w:pPr>
            <w:r>
              <w:rPr>
                <w:rFonts w:hint="eastAsia"/>
              </w:rPr>
              <w:t>传感器联动</w:t>
            </w:r>
          </w:p>
        </w:tc>
        <w:tc>
          <w:tcPr>
            <w:tcW w:w="0" w:type="auto"/>
            <w:vAlign w:val="center"/>
          </w:tcPr>
          <w:p w14:paraId="5ACAA612" w14:textId="77777777" w:rsidR="009B55B3" w:rsidRDefault="00CC309B">
            <w:pPr>
              <w:pStyle w:val="Compact"/>
              <w:spacing w:line="240" w:lineRule="auto"/>
              <w:jc w:val="center"/>
            </w:pPr>
            <w:r>
              <w:rPr>
                <w:rFonts w:hint="eastAsia"/>
              </w:rPr>
              <w:t>突发事件产生的事故车辆、障碍物、遮挡、烟雾、拥堵队列等应能够被传感器模型感知。</w:t>
            </w:r>
          </w:p>
        </w:tc>
      </w:tr>
      <w:tr w:rsidR="009B55B3" w14:paraId="44111498" w14:textId="77777777" w:rsidTr="009B55B3">
        <w:trPr>
          <w:jc w:val="center"/>
        </w:trPr>
        <w:tc>
          <w:tcPr>
            <w:tcW w:w="0" w:type="auto"/>
            <w:vAlign w:val="center"/>
          </w:tcPr>
          <w:p w14:paraId="01C883A9" w14:textId="77777777" w:rsidR="009B55B3" w:rsidRDefault="00CC309B">
            <w:pPr>
              <w:pStyle w:val="Compact"/>
              <w:spacing w:line="240" w:lineRule="auto"/>
              <w:jc w:val="center"/>
            </w:pPr>
            <w:r>
              <w:rPr>
                <w:rFonts w:hint="eastAsia"/>
              </w:rPr>
              <w:t>事件联动</w:t>
            </w:r>
          </w:p>
        </w:tc>
        <w:tc>
          <w:tcPr>
            <w:tcW w:w="0" w:type="auto"/>
            <w:vAlign w:val="center"/>
          </w:tcPr>
          <w:p w14:paraId="046F9329" w14:textId="77777777" w:rsidR="009B55B3" w:rsidRDefault="00CC309B">
            <w:pPr>
              <w:pStyle w:val="Compact"/>
              <w:spacing w:line="240" w:lineRule="auto"/>
              <w:jc w:val="center"/>
            </w:pPr>
            <w:r>
              <w:rPr>
                <w:rFonts w:hint="eastAsia"/>
              </w:rPr>
              <w:t>车辆动力学联动</w:t>
            </w:r>
          </w:p>
        </w:tc>
        <w:tc>
          <w:tcPr>
            <w:tcW w:w="0" w:type="auto"/>
            <w:vAlign w:val="center"/>
          </w:tcPr>
          <w:p w14:paraId="476D382E" w14:textId="77777777" w:rsidR="009B55B3" w:rsidRDefault="00CC309B">
            <w:pPr>
              <w:pStyle w:val="Compact"/>
              <w:spacing w:line="240" w:lineRule="auto"/>
              <w:jc w:val="center"/>
            </w:pPr>
            <w:r>
              <w:rPr>
                <w:rFonts w:hint="eastAsia"/>
              </w:rPr>
              <w:t>桥梁横风、湿滑、结冰、坡道、急弯等事件应与车辆动力学模型联动。</w:t>
            </w:r>
          </w:p>
        </w:tc>
      </w:tr>
      <w:tr w:rsidR="009B55B3" w14:paraId="6413DA38" w14:textId="77777777" w:rsidTr="009B55B3">
        <w:trPr>
          <w:jc w:val="center"/>
        </w:trPr>
        <w:tc>
          <w:tcPr>
            <w:tcW w:w="0" w:type="auto"/>
            <w:vAlign w:val="center"/>
          </w:tcPr>
          <w:p w14:paraId="5E4FD83E" w14:textId="77777777" w:rsidR="009B55B3" w:rsidRDefault="00CC309B">
            <w:pPr>
              <w:pStyle w:val="Compact"/>
              <w:spacing w:line="240" w:lineRule="auto"/>
              <w:jc w:val="center"/>
            </w:pPr>
            <w:r>
              <w:rPr>
                <w:rFonts w:hint="eastAsia"/>
              </w:rPr>
              <w:t>参数化配置</w:t>
            </w:r>
          </w:p>
        </w:tc>
        <w:tc>
          <w:tcPr>
            <w:tcW w:w="0" w:type="auto"/>
            <w:vAlign w:val="center"/>
          </w:tcPr>
          <w:p w14:paraId="3827B83D" w14:textId="77777777" w:rsidR="009B55B3" w:rsidRDefault="00CC309B">
            <w:pPr>
              <w:pStyle w:val="Compact"/>
              <w:spacing w:line="240" w:lineRule="auto"/>
              <w:jc w:val="center"/>
            </w:pPr>
            <w:r>
              <w:rPr>
                <w:rFonts w:hint="eastAsia"/>
              </w:rPr>
              <w:t>事件参数</w:t>
            </w:r>
          </w:p>
        </w:tc>
        <w:tc>
          <w:tcPr>
            <w:tcW w:w="0" w:type="auto"/>
            <w:vAlign w:val="center"/>
          </w:tcPr>
          <w:p w14:paraId="66D3BD59" w14:textId="77777777" w:rsidR="009B55B3" w:rsidRDefault="00CC309B">
            <w:pPr>
              <w:pStyle w:val="Compact"/>
              <w:spacing w:line="240" w:lineRule="auto"/>
              <w:jc w:val="center"/>
            </w:pPr>
            <w:r>
              <w:rPr>
                <w:rFonts w:hint="eastAsia"/>
              </w:rPr>
              <w:t>事件参数应支持事件发生时间、发生位置、持续时间、影响范围、影响车道、目标类型、严重程度等参数配置。</w:t>
            </w:r>
          </w:p>
        </w:tc>
      </w:tr>
      <w:tr w:rsidR="009B55B3" w14:paraId="093516F0" w14:textId="77777777" w:rsidTr="009B55B3">
        <w:trPr>
          <w:jc w:val="center"/>
        </w:trPr>
        <w:tc>
          <w:tcPr>
            <w:tcW w:w="0" w:type="auto"/>
            <w:vAlign w:val="center"/>
          </w:tcPr>
          <w:p w14:paraId="68A77CD8" w14:textId="77777777" w:rsidR="009B55B3" w:rsidRDefault="00CC309B">
            <w:pPr>
              <w:pStyle w:val="Compact"/>
              <w:spacing w:line="240" w:lineRule="auto"/>
              <w:jc w:val="center"/>
            </w:pPr>
            <w:r>
              <w:rPr>
                <w:rFonts w:hint="eastAsia"/>
              </w:rPr>
              <w:t>可复现与追溯</w:t>
            </w:r>
          </w:p>
        </w:tc>
        <w:tc>
          <w:tcPr>
            <w:tcW w:w="0" w:type="auto"/>
            <w:vAlign w:val="center"/>
          </w:tcPr>
          <w:p w14:paraId="7C6D56E3" w14:textId="77777777" w:rsidR="009B55B3" w:rsidRDefault="00CC309B">
            <w:pPr>
              <w:pStyle w:val="Compact"/>
              <w:spacing w:line="240" w:lineRule="auto"/>
              <w:jc w:val="center"/>
            </w:pPr>
            <w:r>
              <w:rPr>
                <w:rFonts w:hint="eastAsia"/>
              </w:rPr>
              <w:t>事件复现</w:t>
            </w:r>
          </w:p>
        </w:tc>
        <w:tc>
          <w:tcPr>
            <w:tcW w:w="0" w:type="auto"/>
            <w:vAlign w:val="center"/>
          </w:tcPr>
          <w:p w14:paraId="09AB3C4D" w14:textId="77777777" w:rsidR="009B55B3" w:rsidRDefault="00CC309B">
            <w:pPr>
              <w:pStyle w:val="Compact"/>
              <w:spacing w:line="240" w:lineRule="auto"/>
              <w:jc w:val="center"/>
            </w:pPr>
            <w:r>
              <w:rPr>
                <w:rFonts w:hint="eastAsia"/>
              </w:rPr>
              <w:t>在相同场景文件、参数配置、随机种子和工具链版本下，事件过程应可复现。</w:t>
            </w:r>
          </w:p>
        </w:tc>
      </w:tr>
      <w:tr w:rsidR="009B55B3" w14:paraId="5465B901" w14:textId="77777777" w:rsidTr="009B55B3">
        <w:trPr>
          <w:jc w:val="center"/>
        </w:trPr>
        <w:tc>
          <w:tcPr>
            <w:tcW w:w="0" w:type="auto"/>
            <w:vAlign w:val="center"/>
          </w:tcPr>
          <w:p w14:paraId="54BDBB2B" w14:textId="77777777" w:rsidR="009B55B3" w:rsidRDefault="00CC309B">
            <w:pPr>
              <w:pStyle w:val="Compact"/>
              <w:spacing w:line="240" w:lineRule="auto"/>
              <w:jc w:val="center"/>
            </w:pPr>
            <w:r>
              <w:rPr>
                <w:rFonts w:hint="eastAsia"/>
              </w:rPr>
              <w:t>可复现与追溯</w:t>
            </w:r>
          </w:p>
        </w:tc>
        <w:tc>
          <w:tcPr>
            <w:tcW w:w="0" w:type="auto"/>
            <w:vAlign w:val="center"/>
          </w:tcPr>
          <w:p w14:paraId="0DC2537D" w14:textId="77777777" w:rsidR="009B55B3" w:rsidRDefault="00CC309B">
            <w:pPr>
              <w:pStyle w:val="Compact"/>
              <w:spacing w:line="240" w:lineRule="auto"/>
              <w:jc w:val="center"/>
            </w:pPr>
            <w:r>
              <w:rPr>
                <w:rFonts w:hint="eastAsia"/>
              </w:rPr>
              <w:t>事件记录</w:t>
            </w:r>
          </w:p>
        </w:tc>
        <w:tc>
          <w:tcPr>
            <w:tcW w:w="0" w:type="auto"/>
            <w:vAlign w:val="center"/>
          </w:tcPr>
          <w:p w14:paraId="7309A757" w14:textId="77777777" w:rsidR="009B55B3" w:rsidRDefault="00CC309B">
            <w:pPr>
              <w:pStyle w:val="Compact"/>
              <w:spacing w:line="240" w:lineRule="auto"/>
              <w:jc w:val="center"/>
            </w:pPr>
            <w:r>
              <w:rPr>
                <w:rFonts w:hint="eastAsia"/>
              </w:rPr>
              <w:t>应记录事件触发条件、触发时刻、触发位置、事件状态变化、受影响目标、主车响应和最终结果。</w:t>
            </w:r>
          </w:p>
        </w:tc>
      </w:tr>
    </w:tbl>
    <w:p w14:paraId="5D7733B4" w14:textId="30349812" w:rsidR="009B55B3" w:rsidRDefault="00CC309B">
      <w:pPr>
        <w:pStyle w:val="3"/>
      </w:pPr>
      <w:bookmarkStart w:id="58" w:name="仿真测试软件通用性可信度"/>
      <w:bookmarkEnd w:id="57"/>
      <w:r>
        <w:t xml:space="preserve">5.5 </w:t>
      </w:r>
      <w:r>
        <w:rPr>
          <w:rFonts w:hint="eastAsia"/>
        </w:rPr>
        <w:t>仿真测试软件通用性</w:t>
      </w:r>
    </w:p>
    <w:p w14:paraId="41076026" w14:textId="77777777" w:rsidR="009B55B3" w:rsidRDefault="00CC309B">
      <w:pPr>
        <w:pStyle w:val="FirstParagraph"/>
      </w:pPr>
      <w:r>
        <w:rPr>
          <w:rFonts w:hint="eastAsia"/>
        </w:rPr>
        <w:t>仿真测试软件通用性可信度评估指标见表</w:t>
      </w:r>
      <w:r>
        <w:rPr>
          <w:rFonts w:hint="eastAsia"/>
        </w:rPr>
        <w:t>13</w:t>
      </w:r>
      <w:r>
        <w:rPr>
          <w:rFonts w:hint="eastAsia"/>
        </w:rPr>
        <w:t>。</w:t>
      </w:r>
    </w:p>
    <w:p w14:paraId="530070E3" w14:textId="77777777" w:rsidR="009B55B3" w:rsidRDefault="00CC309B">
      <w:pPr>
        <w:pStyle w:val="a0"/>
        <w:autoSpaceDE w:val="0"/>
        <w:autoSpaceDN w:val="0"/>
        <w:jc w:val="center"/>
      </w:pPr>
      <w:r>
        <w:rPr>
          <w:rFonts w:hint="eastAsia"/>
        </w:rPr>
        <w:t>表</w:t>
      </w:r>
      <w:r>
        <w:rPr>
          <w:rFonts w:hint="eastAsia"/>
        </w:rPr>
        <w:t>13</w:t>
      </w:r>
      <w:r>
        <w:t xml:space="preserve"> </w:t>
      </w:r>
      <w:r>
        <w:rPr>
          <w:rFonts w:hint="eastAsia"/>
        </w:rPr>
        <w:t>仿真测试软件通用性可信度评估指标</w:t>
      </w:r>
    </w:p>
    <w:tbl>
      <w:tblPr>
        <w:tblStyle w:val="Table"/>
        <w:tblW w:w="5000" w:type="pct"/>
        <w:jc w:val="center"/>
        <w:tblLook w:val="0020" w:firstRow="1" w:lastRow="0" w:firstColumn="0" w:lastColumn="0" w:noHBand="0" w:noVBand="0"/>
      </w:tblPr>
      <w:tblGrid>
        <w:gridCol w:w="700"/>
        <w:gridCol w:w="837"/>
        <w:gridCol w:w="7083"/>
      </w:tblGrid>
      <w:tr w:rsidR="009B55B3" w14:paraId="1E16773D" w14:textId="77777777" w:rsidTr="009B55B3">
        <w:trPr>
          <w:cnfStyle w:val="100000000000" w:firstRow="1" w:lastRow="0" w:firstColumn="0" w:lastColumn="0" w:oddVBand="0" w:evenVBand="0" w:oddHBand="0" w:evenHBand="0" w:firstRowFirstColumn="0" w:firstRowLastColumn="0" w:lastRowFirstColumn="0" w:lastRowLastColumn="0"/>
          <w:jc w:val="center"/>
        </w:trPr>
        <w:tc>
          <w:tcPr>
            <w:tcW w:w="0" w:type="auto"/>
            <w:vAlign w:val="center"/>
          </w:tcPr>
          <w:p w14:paraId="52F7A18F" w14:textId="77777777" w:rsidR="009B55B3" w:rsidRDefault="00CC309B">
            <w:pPr>
              <w:pStyle w:val="Compact"/>
              <w:spacing w:line="240" w:lineRule="auto"/>
              <w:jc w:val="center"/>
            </w:pPr>
            <w:r>
              <w:rPr>
                <w:rFonts w:hint="eastAsia"/>
                <w:b/>
                <w:bCs/>
              </w:rPr>
              <w:t>评估维度</w:t>
            </w:r>
          </w:p>
        </w:tc>
        <w:tc>
          <w:tcPr>
            <w:tcW w:w="0" w:type="auto"/>
            <w:vAlign w:val="center"/>
          </w:tcPr>
          <w:p w14:paraId="00FDD6C6" w14:textId="77777777" w:rsidR="009B55B3" w:rsidRDefault="00CC309B">
            <w:pPr>
              <w:pStyle w:val="Compact"/>
              <w:spacing w:line="240" w:lineRule="auto"/>
              <w:jc w:val="center"/>
              <w:cnfStyle w:val="000000000000" w:firstRow="0" w:lastRow="0" w:firstColumn="0" w:lastColumn="0" w:oddVBand="0" w:evenVBand="0" w:oddHBand="0" w:evenHBand="0" w:firstRowFirstColumn="0" w:firstRowLastColumn="0" w:lastRowFirstColumn="0" w:lastRowLastColumn="0"/>
            </w:pPr>
            <w:r>
              <w:rPr>
                <w:rFonts w:hint="eastAsia"/>
                <w:b/>
                <w:bCs/>
              </w:rPr>
              <w:t>评估指标</w:t>
            </w:r>
          </w:p>
        </w:tc>
        <w:tc>
          <w:tcPr>
            <w:tcW w:w="0" w:type="auto"/>
            <w:vAlign w:val="center"/>
          </w:tcPr>
          <w:p w14:paraId="25252C05" w14:textId="77777777" w:rsidR="009B55B3" w:rsidRDefault="00CC309B">
            <w:pPr>
              <w:pStyle w:val="Compact"/>
              <w:spacing w:line="240" w:lineRule="auto"/>
              <w:jc w:val="center"/>
              <w:cnfStyle w:val="000000000000" w:firstRow="0" w:lastRow="0" w:firstColumn="0" w:lastColumn="0" w:oddVBand="0" w:evenVBand="0" w:oddHBand="0" w:evenHBand="0" w:firstRowFirstColumn="0" w:firstRowLastColumn="0" w:lastRowFirstColumn="0" w:lastRowLastColumn="0"/>
            </w:pPr>
            <w:r>
              <w:rPr>
                <w:rFonts w:hint="eastAsia"/>
                <w:b/>
                <w:bCs/>
              </w:rPr>
              <w:t>指标说明与要求</w:t>
            </w:r>
          </w:p>
        </w:tc>
      </w:tr>
      <w:tr w:rsidR="009B55B3" w14:paraId="47290C1A" w14:textId="77777777" w:rsidTr="009B55B3">
        <w:trPr>
          <w:jc w:val="center"/>
        </w:trPr>
        <w:tc>
          <w:tcPr>
            <w:tcW w:w="0" w:type="auto"/>
            <w:vAlign w:val="center"/>
          </w:tcPr>
          <w:p w14:paraId="5EE91FB6" w14:textId="77777777" w:rsidR="009B55B3" w:rsidRDefault="00CC309B">
            <w:pPr>
              <w:pStyle w:val="Compact"/>
              <w:spacing w:line="240" w:lineRule="auto"/>
              <w:jc w:val="center"/>
            </w:pPr>
            <w:r>
              <w:rPr>
                <w:rFonts w:hint="eastAsia"/>
              </w:rPr>
              <w:t>延迟</w:t>
            </w:r>
          </w:p>
        </w:tc>
        <w:tc>
          <w:tcPr>
            <w:tcW w:w="0" w:type="auto"/>
            <w:vAlign w:val="center"/>
          </w:tcPr>
          <w:p w14:paraId="30726252" w14:textId="77777777" w:rsidR="009B55B3" w:rsidRDefault="00CC309B">
            <w:pPr>
              <w:pStyle w:val="Compact"/>
              <w:spacing w:line="240" w:lineRule="auto"/>
              <w:jc w:val="center"/>
            </w:pPr>
            <w:r>
              <w:rPr>
                <w:rFonts w:hint="eastAsia"/>
              </w:rPr>
              <w:t>接口通信延迟</w:t>
            </w:r>
          </w:p>
        </w:tc>
        <w:tc>
          <w:tcPr>
            <w:tcW w:w="0" w:type="auto"/>
            <w:vAlign w:val="center"/>
          </w:tcPr>
          <w:p w14:paraId="2F32B3D0" w14:textId="77777777" w:rsidR="009B55B3" w:rsidRDefault="00CC309B">
            <w:pPr>
              <w:pStyle w:val="Compact"/>
              <w:spacing w:line="240" w:lineRule="auto"/>
              <w:jc w:val="center"/>
            </w:pPr>
            <w:r>
              <w:rPr>
                <w:rFonts w:hint="eastAsia"/>
              </w:rPr>
              <w:t>在规定负载下，控制指令接口和传感器数据输出接口的端到端时延应满足被测接口规范及应用场景预先规定的要求，并明确测量起止点、负载条件和统计口径。</w:t>
            </w:r>
          </w:p>
        </w:tc>
      </w:tr>
      <w:tr w:rsidR="009B55B3" w14:paraId="0AB18251" w14:textId="77777777" w:rsidTr="009B55B3">
        <w:trPr>
          <w:jc w:val="center"/>
        </w:trPr>
        <w:tc>
          <w:tcPr>
            <w:tcW w:w="0" w:type="auto"/>
            <w:vAlign w:val="center"/>
          </w:tcPr>
          <w:p w14:paraId="0CC21D9C" w14:textId="77777777" w:rsidR="009B55B3" w:rsidRDefault="00CC309B">
            <w:pPr>
              <w:pStyle w:val="Compact"/>
              <w:spacing w:line="240" w:lineRule="auto"/>
              <w:jc w:val="center"/>
            </w:pPr>
            <w:r>
              <w:rPr>
                <w:rFonts w:hint="eastAsia"/>
              </w:rPr>
              <w:t>带宽</w:t>
            </w:r>
          </w:p>
        </w:tc>
        <w:tc>
          <w:tcPr>
            <w:tcW w:w="0" w:type="auto"/>
            <w:vAlign w:val="center"/>
          </w:tcPr>
          <w:p w14:paraId="0DF6AD30" w14:textId="77777777" w:rsidR="009B55B3" w:rsidRDefault="00CC309B">
            <w:pPr>
              <w:pStyle w:val="Compact"/>
              <w:spacing w:line="240" w:lineRule="auto"/>
              <w:jc w:val="center"/>
            </w:pPr>
            <w:r>
              <w:rPr>
                <w:rFonts w:hint="eastAsia"/>
              </w:rPr>
              <w:t>数据传输速率</w:t>
            </w:r>
          </w:p>
        </w:tc>
        <w:tc>
          <w:tcPr>
            <w:tcW w:w="0" w:type="auto"/>
            <w:vAlign w:val="center"/>
          </w:tcPr>
          <w:p w14:paraId="4B5EB0CD" w14:textId="77777777" w:rsidR="009B55B3" w:rsidRDefault="00CC309B">
            <w:pPr>
              <w:pStyle w:val="Compact"/>
              <w:spacing w:line="240" w:lineRule="auto"/>
              <w:jc w:val="center"/>
            </w:pPr>
            <w:r>
              <w:rPr>
                <w:rFonts w:hint="eastAsia"/>
              </w:rPr>
              <w:t>仿真系统与算法或硬件之间的最大持续数据吞吐量应不低于实际被测接口的要求，并明确数据格式、通道数量和持续时间。</w:t>
            </w:r>
          </w:p>
        </w:tc>
      </w:tr>
      <w:tr w:rsidR="009B55B3" w14:paraId="38ADE203" w14:textId="77777777" w:rsidTr="009B55B3">
        <w:trPr>
          <w:jc w:val="center"/>
        </w:trPr>
        <w:tc>
          <w:tcPr>
            <w:tcW w:w="0" w:type="auto"/>
            <w:vAlign w:val="center"/>
          </w:tcPr>
          <w:p w14:paraId="56E108BC" w14:textId="77777777" w:rsidR="009B55B3" w:rsidRDefault="00CC309B">
            <w:pPr>
              <w:pStyle w:val="Compact"/>
              <w:spacing w:line="240" w:lineRule="auto"/>
              <w:jc w:val="center"/>
            </w:pPr>
            <w:r>
              <w:rPr>
                <w:rFonts w:hint="eastAsia"/>
              </w:rPr>
              <w:lastRenderedPageBreak/>
              <w:t>可靠性</w:t>
            </w:r>
          </w:p>
        </w:tc>
        <w:tc>
          <w:tcPr>
            <w:tcW w:w="0" w:type="auto"/>
            <w:vAlign w:val="center"/>
          </w:tcPr>
          <w:p w14:paraId="1218EDB1" w14:textId="77777777" w:rsidR="009B55B3" w:rsidRDefault="00CC309B">
            <w:pPr>
              <w:pStyle w:val="Compact"/>
              <w:spacing w:line="240" w:lineRule="auto"/>
              <w:jc w:val="center"/>
            </w:pPr>
            <w:r>
              <w:rPr>
                <w:rFonts w:hint="eastAsia"/>
              </w:rPr>
              <w:t>丢帧率</w:t>
            </w:r>
            <w:r>
              <w:rPr>
                <w:rFonts w:hint="eastAsia"/>
              </w:rPr>
              <w:t>/</w:t>
            </w:r>
            <w:r>
              <w:rPr>
                <w:rFonts w:hint="eastAsia"/>
              </w:rPr>
              <w:t>丢包率</w:t>
            </w:r>
          </w:p>
        </w:tc>
        <w:tc>
          <w:tcPr>
            <w:tcW w:w="0" w:type="auto"/>
            <w:vAlign w:val="center"/>
          </w:tcPr>
          <w:p w14:paraId="61634729" w14:textId="77777777" w:rsidR="009B55B3" w:rsidRDefault="00CC309B">
            <w:pPr>
              <w:pStyle w:val="Compact"/>
              <w:spacing w:line="240" w:lineRule="auto"/>
              <w:jc w:val="center"/>
            </w:pPr>
            <w:r>
              <w:rPr>
                <w:rFonts w:hint="eastAsia"/>
              </w:rPr>
              <w:t>在最大设计带宽和规定持续运行时间内，数据丢帧率和网络丢包率应满足被测通信接口规范及应用场景预先规定的要求。</w:t>
            </w:r>
          </w:p>
        </w:tc>
      </w:tr>
      <w:tr w:rsidR="009B55B3" w14:paraId="6B714FBD" w14:textId="77777777" w:rsidTr="009B55B3">
        <w:trPr>
          <w:jc w:val="center"/>
        </w:trPr>
        <w:tc>
          <w:tcPr>
            <w:tcW w:w="0" w:type="auto"/>
            <w:vAlign w:val="center"/>
          </w:tcPr>
          <w:p w14:paraId="01C45912" w14:textId="77777777" w:rsidR="009B55B3" w:rsidRDefault="00CC309B">
            <w:pPr>
              <w:pStyle w:val="Compact"/>
              <w:spacing w:line="240" w:lineRule="auto"/>
              <w:jc w:val="center"/>
            </w:pPr>
            <w:r>
              <w:rPr>
                <w:rFonts w:hint="eastAsia"/>
              </w:rPr>
              <w:t>规范性</w:t>
            </w:r>
          </w:p>
        </w:tc>
        <w:tc>
          <w:tcPr>
            <w:tcW w:w="0" w:type="auto"/>
            <w:vAlign w:val="center"/>
          </w:tcPr>
          <w:p w14:paraId="6499C20E" w14:textId="77777777" w:rsidR="009B55B3" w:rsidRDefault="00CC309B">
            <w:pPr>
              <w:pStyle w:val="Compact"/>
              <w:spacing w:line="240" w:lineRule="auto"/>
              <w:jc w:val="center"/>
            </w:pPr>
            <w:r>
              <w:rPr>
                <w:rFonts w:hint="eastAsia"/>
              </w:rPr>
              <w:t>接口格式符合性</w:t>
            </w:r>
          </w:p>
        </w:tc>
        <w:tc>
          <w:tcPr>
            <w:tcW w:w="0" w:type="auto"/>
            <w:vAlign w:val="center"/>
          </w:tcPr>
          <w:p w14:paraId="79B68DF8" w14:textId="77777777" w:rsidR="009B55B3" w:rsidRDefault="00CC309B">
            <w:pPr>
              <w:pStyle w:val="Compact"/>
              <w:spacing w:line="240" w:lineRule="auto"/>
              <w:jc w:val="center"/>
            </w:pPr>
            <w:r>
              <w:rPr>
                <w:rFonts w:hint="eastAsia"/>
              </w:rPr>
              <w:t>自动驾驶传感器与数据融合单元间的数据通信逻辑接口应符合</w:t>
            </w:r>
            <w:r>
              <w:t xml:space="preserve"> GB/T 47126—2026 </w:t>
            </w:r>
            <w:r>
              <w:rPr>
                <w:rFonts w:hint="eastAsia"/>
              </w:rPr>
              <w:t>的规定；其他对外数据接口、通信协议和场景文件格式应符合软件声称支持的规范（如</w:t>
            </w:r>
            <w:r>
              <w:t xml:space="preserve"> ROS 2</w:t>
            </w:r>
            <w:r>
              <w:t>、</w:t>
            </w:r>
            <w:r>
              <w:t>CAN FD</w:t>
            </w:r>
            <w:r>
              <w:t>、</w:t>
            </w:r>
            <w:r>
              <w:t xml:space="preserve">ASAM OpenSCENARIO XML V1.2.0 </w:t>
            </w:r>
            <w:r>
              <w:rPr>
                <w:rFonts w:hint="eastAsia"/>
              </w:rPr>
              <w:t>等），并提供完整、准确的格式说明文档。</w:t>
            </w:r>
          </w:p>
        </w:tc>
      </w:tr>
    </w:tbl>
    <w:p w14:paraId="750CEE2F" w14:textId="77777777" w:rsidR="009B55B3" w:rsidRDefault="00CC309B">
      <w:pPr>
        <w:pStyle w:val="2"/>
      </w:pPr>
      <w:bookmarkStart w:id="59" w:name="可信度评估实施与等级判定"/>
      <w:bookmarkEnd w:id="43"/>
      <w:bookmarkEnd w:id="58"/>
      <w:r>
        <w:t xml:space="preserve">6 </w:t>
      </w:r>
      <w:r>
        <w:rPr>
          <w:rFonts w:hint="eastAsia"/>
        </w:rPr>
        <w:t>可信度评估实施与等级判定</w:t>
      </w:r>
    </w:p>
    <w:p w14:paraId="0C1A69E7" w14:textId="77777777" w:rsidR="009B55B3" w:rsidRDefault="00CC309B">
      <w:pPr>
        <w:pStyle w:val="3"/>
      </w:pPr>
      <w:bookmarkStart w:id="60" w:name="数据对比法"/>
      <w:r>
        <w:t xml:space="preserve">6.1 </w:t>
      </w:r>
      <w:r>
        <w:rPr>
          <w:rFonts w:hint="eastAsia"/>
        </w:rPr>
        <w:t>数据对比法</w:t>
      </w:r>
    </w:p>
    <w:p w14:paraId="6C5D7AE3" w14:textId="77777777" w:rsidR="009B55B3" w:rsidRDefault="00CC309B">
      <w:pPr>
        <w:pStyle w:val="FirstParagraph"/>
      </w:pPr>
      <w:r>
        <w:rPr>
          <w:rFonts w:hint="eastAsia"/>
        </w:rPr>
        <w:t>通过采集真实场景下的传感器数据、车辆运动数据、交通流数据，与仿真输出进行比对，计算误差指标（均方根误差、结构相似性指数、平均绝对误差等），评估仿真精度。适用于可观测场景。</w:t>
      </w:r>
    </w:p>
    <w:p w14:paraId="59404A9A" w14:textId="77777777" w:rsidR="009B55B3" w:rsidRDefault="00CC309B">
      <w:pPr>
        <w:pStyle w:val="3"/>
      </w:pPr>
      <w:bookmarkStart w:id="61" w:name="专家评审法"/>
      <w:bookmarkEnd w:id="60"/>
      <w:r>
        <w:t xml:space="preserve">6.2 </w:t>
      </w:r>
      <w:r>
        <w:rPr>
          <w:rFonts w:hint="eastAsia"/>
        </w:rPr>
        <w:t>专家评审法</w:t>
      </w:r>
    </w:p>
    <w:p w14:paraId="127AE4C4" w14:textId="77777777" w:rsidR="009B55B3" w:rsidRDefault="00CC309B">
      <w:pPr>
        <w:pStyle w:val="FirstParagraph"/>
      </w:pPr>
      <w:r>
        <w:rPr>
          <w:rFonts w:hint="eastAsia"/>
        </w:rPr>
        <w:t>邀请不少于</w:t>
      </w:r>
      <w:r>
        <w:t xml:space="preserve"> 5 </w:t>
      </w:r>
      <w:r>
        <w:rPr>
          <w:rFonts w:hint="eastAsia"/>
        </w:rPr>
        <w:t>名行业专家，依据本文件第</w:t>
      </w:r>
      <w:r>
        <w:rPr>
          <w:rFonts w:hint="eastAsia"/>
        </w:rPr>
        <w:t>4</w:t>
      </w:r>
      <w:r>
        <w:rPr>
          <w:rFonts w:hint="eastAsia"/>
        </w:rPr>
        <w:t>章和第</w:t>
      </w:r>
      <w:r>
        <w:rPr>
          <w:rFonts w:hint="eastAsia"/>
        </w:rPr>
        <w:t>5</w:t>
      </w:r>
      <w:r>
        <w:rPr>
          <w:rFonts w:hint="eastAsia"/>
        </w:rPr>
        <w:t>章的要求，对仿真软件的功能完整性、模型合理性、技术成熟度、接口规范性、结果可视化等进行结构化评审。可参考第</w:t>
      </w:r>
      <w:r>
        <w:rPr>
          <w:rFonts w:hint="eastAsia"/>
        </w:rPr>
        <w:t>5</w:t>
      </w:r>
      <w:r>
        <w:rPr>
          <w:rFonts w:hint="eastAsia"/>
        </w:rPr>
        <w:t>章可信度评估指标建立评审指标清单，制定评分细则，采用德尔菲法或多轮打分制形成综合意见。</w:t>
      </w:r>
    </w:p>
    <w:p w14:paraId="0FA6FF7C" w14:textId="77777777" w:rsidR="009B55B3" w:rsidRDefault="00CC309B">
      <w:pPr>
        <w:pStyle w:val="3"/>
      </w:pPr>
      <w:bookmarkStart w:id="62" w:name="仿真-实车联合验证法"/>
      <w:bookmarkEnd w:id="61"/>
      <w:r>
        <w:t xml:space="preserve">6.3 </w:t>
      </w:r>
      <w:r>
        <w:rPr>
          <w:rFonts w:hint="eastAsia"/>
        </w:rPr>
        <w:t>仿真</w:t>
      </w:r>
      <w:r>
        <w:rPr>
          <w:rFonts w:hint="eastAsia"/>
        </w:rPr>
        <w:t>-</w:t>
      </w:r>
      <w:r>
        <w:rPr>
          <w:rFonts w:hint="eastAsia"/>
        </w:rPr>
        <w:t>实车联合验证法</w:t>
      </w:r>
    </w:p>
    <w:p w14:paraId="14A3E814" w14:textId="77777777" w:rsidR="009B55B3" w:rsidRDefault="00CC309B">
      <w:pPr>
        <w:pStyle w:val="FirstParagraph"/>
      </w:pPr>
      <w:r>
        <w:rPr>
          <w:rFonts w:hint="eastAsia"/>
        </w:rPr>
        <w:t>针对具有虚实结合仿真测试的软件，通过虚实结合测试（如数字孪生测试场），将仿真输出与实车在相同逻辑场景下的表现进行定性和定量对比，评估其一致性。</w:t>
      </w:r>
    </w:p>
    <w:p w14:paraId="6F0B0B4C" w14:textId="77777777" w:rsidR="009B55B3" w:rsidRDefault="00CC309B">
      <w:pPr>
        <w:pStyle w:val="3"/>
      </w:pPr>
      <w:bookmarkStart w:id="63" w:name="仿真试验可信度评估要求"/>
      <w:bookmarkEnd w:id="62"/>
      <w:r>
        <w:t xml:space="preserve">6.4 </w:t>
      </w:r>
      <w:r>
        <w:rPr>
          <w:rFonts w:hint="eastAsia"/>
        </w:rPr>
        <w:t>仿真试验可信度评估要求</w:t>
      </w:r>
    </w:p>
    <w:p w14:paraId="15BD601E" w14:textId="77777777" w:rsidR="009B55B3" w:rsidRDefault="00CC309B">
      <w:pPr>
        <w:pStyle w:val="FirstParagraph"/>
      </w:pPr>
      <w:r>
        <w:rPr>
          <w:rFonts w:hint="eastAsia"/>
        </w:rPr>
        <w:t>仿真试验可信度评估应符合</w:t>
      </w:r>
      <w:r>
        <w:t xml:space="preserve"> GB/T 47025—2026 </w:t>
      </w:r>
      <w:r>
        <w:rPr>
          <w:rFonts w:hint="eastAsia"/>
        </w:rPr>
        <w:t>附录</w:t>
      </w:r>
      <w:r>
        <w:t xml:space="preserve"> A </w:t>
      </w:r>
      <w:r>
        <w:rPr>
          <w:rFonts w:hint="eastAsia"/>
        </w:rPr>
        <w:t>的规定。评估方应按照</w:t>
      </w:r>
      <w:r>
        <w:rPr>
          <w:rFonts w:hint="eastAsia"/>
        </w:rPr>
        <w:lastRenderedPageBreak/>
        <w:t>该附录</w:t>
      </w:r>
      <w:r>
        <w:t xml:space="preserve"> A.3.2 </w:t>
      </w:r>
      <w:r>
        <w:rPr>
          <w:rFonts w:hint="eastAsia"/>
        </w:rPr>
        <w:t>开展关键性评估，根据评估结果确定需要遵守的可信度要求以及验证内容和严格程度，并核查</w:t>
      </w:r>
      <w:r>
        <w:t xml:space="preserve"> </w:t>
      </w:r>
      <w:r>
        <w:rPr>
          <w:rFonts w:hint="eastAsia"/>
        </w:rPr>
        <w:t>6.4.1</w:t>
      </w:r>
      <w:r>
        <w:rPr>
          <w:rFonts w:hint="eastAsia"/>
        </w:rPr>
        <w:t>～</w:t>
      </w:r>
      <w:r>
        <w:rPr>
          <w:rFonts w:hint="eastAsia"/>
        </w:rPr>
        <w:t>6.4.5</w:t>
      </w:r>
      <w:r>
        <w:t xml:space="preserve"> </w:t>
      </w:r>
      <w:r>
        <w:rPr>
          <w:rFonts w:hint="eastAsia"/>
        </w:rPr>
        <w:t>所列证据。</w:t>
      </w:r>
    </w:p>
    <w:p w14:paraId="1D1D1BF8" w14:textId="77777777" w:rsidR="009B55B3" w:rsidRDefault="00CC309B">
      <w:pPr>
        <w:pStyle w:val="3"/>
      </w:pPr>
      <w:bookmarkStart w:id="64" w:name="建模与仿真管理证据"/>
      <w:bookmarkEnd w:id="63"/>
      <w:r>
        <w:t xml:space="preserve">6.4.1 </w:t>
      </w:r>
      <w:r>
        <w:rPr>
          <w:rFonts w:hint="eastAsia"/>
        </w:rPr>
        <w:t>建模与仿真管理证据</w:t>
      </w:r>
    </w:p>
    <w:p w14:paraId="00C6ADFF" w14:textId="77777777" w:rsidR="009B55B3" w:rsidRDefault="00CC309B">
      <w:pPr>
        <w:pStyle w:val="FirstParagraph"/>
      </w:pPr>
      <w:r>
        <w:rPr>
          <w:rFonts w:hint="eastAsia"/>
        </w:rPr>
        <w:t>应核查</w:t>
      </w:r>
      <w:r>
        <w:t xml:space="preserve"> GB/T 47025—2026 A.2 </w:t>
      </w:r>
      <w:r>
        <w:rPr>
          <w:rFonts w:hint="eastAsia"/>
        </w:rPr>
        <w:t>规定的建模与仿真管理证据，至少包括工具链管理流程和发布记录、软件和硬件配置、支撑审核的发布版本、内部审核批准记录、模型确认方法和阈值、岗位能力鉴定与培训记录、负责工具链确认和自动驾驶系统仿真试验的人员或团队能力说明，以及数据输入谱系和数据输出谱系。数据证据应包括来源和质量特征、预期仿真功能覆盖、模型参数校准及数据质量影响、数据与工具链版本及仿真设置的追溯关系、设计运行条件覆盖、一致性和完整性检查，以及随机模型的可重复执行和方差表征。</w:t>
      </w:r>
    </w:p>
    <w:p w14:paraId="610DCC41" w14:textId="77777777" w:rsidR="009B55B3" w:rsidRDefault="00CC309B">
      <w:pPr>
        <w:pStyle w:val="3"/>
      </w:pPr>
      <w:bookmarkStart w:id="65" w:name="建模与仿真分析证据"/>
      <w:bookmarkEnd w:id="64"/>
      <w:r>
        <w:t xml:space="preserve">6.4.2 </w:t>
      </w:r>
      <w:r>
        <w:rPr>
          <w:rFonts w:hint="eastAsia"/>
        </w:rPr>
        <w:t>建模与仿真分析证据</w:t>
      </w:r>
    </w:p>
    <w:p w14:paraId="6961B16E" w14:textId="77777777" w:rsidR="009B55B3" w:rsidRDefault="00CC309B">
      <w:pPr>
        <w:pStyle w:val="FirstParagraph"/>
      </w:pPr>
      <w:r>
        <w:rPr>
          <w:rFonts w:hint="eastAsia"/>
        </w:rPr>
        <w:t>应核查</w:t>
      </w:r>
      <w:r>
        <w:t xml:space="preserve"> GB/T 47025—2026 A.3 </w:t>
      </w:r>
      <w:r>
        <w:rPr>
          <w:rFonts w:hint="eastAsia"/>
        </w:rPr>
        <w:t>规定的建模与仿真分析证据，至少包括仿真目的和方案、参数空间、完整工具链说明、仿真数据对自动驾驶系统验证和确认的支持方式、关键性评估结果及其适用要求、模型适用范围、专用验证场景、确认场景清单及参数限制、设计运行条件分析、建模假设、保真度要求、仿真与实体之间的相关性容差、不确定性来源及其对输出的影响，以及以关键性能指标表示的相关性阈值。</w:t>
      </w:r>
    </w:p>
    <w:p w14:paraId="63E0A9C4" w14:textId="77777777" w:rsidR="009B55B3" w:rsidRDefault="00CC309B">
      <w:pPr>
        <w:pStyle w:val="3"/>
      </w:pPr>
      <w:bookmarkStart w:id="66" w:name="建模与仿真验证证据"/>
      <w:bookmarkEnd w:id="65"/>
      <w:r>
        <w:t xml:space="preserve">6.4.3 </w:t>
      </w:r>
      <w:r>
        <w:rPr>
          <w:rFonts w:hint="eastAsia"/>
        </w:rPr>
        <w:t>建模与仿真验证证据</w:t>
      </w:r>
    </w:p>
    <w:p w14:paraId="3CDDB81E" w14:textId="77777777" w:rsidR="009B55B3" w:rsidRDefault="00CC309B">
      <w:pPr>
        <w:pStyle w:val="FirstParagraph"/>
      </w:pPr>
      <w:r>
        <w:rPr>
          <w:rFonts w:hint="eastAsia"/>
        </w:rPr>
        <w:t>应核查</w:t>
      </w:r>
      <w:r>
        <w:t xml:space="preserve"> GB/T 47025—2026 A.4 </w:t>
      </w:r>
      <w:r>
        <w:rPr>
          <w:rFonts w:hint="eastAsia"/>
        </w:rPr>
        <w:t>规定的建模与仿真验证证据，至少包括代码验证执行记录、输入参数范围及组合覆盖证据、健全性或一致性检查，离散误差、舍入误差和迭代收敛误差等数值误差估算及其对验证结果的影响，以及关键参数的敏感性分析和鲁棒校准记录。</w:t>
      </w:r>
    </w:p>
    <w:p w14:paraId="20ED30AA" w14:textId="77777777" w:rsidR="009B55B3" w:rsidRDefault="00CC309B">
      <w:pPr>
        <w:pStyle w:val="3"/>
      </w:pPr>
      <w:bookmarkStart w:id="67" w:name="建模与仿真确认及不确定性证据"/>
      <w:bookmarkEnd w:id="66"/>
      <w:r>
        <w:t xml:space="preserve">6.4.4 </w:t>
      </w:r>
      <w:r>
        <w:rPr>
          <w:rFonts w:hint="eastAsia"/>
        </w:rPr>
        <w:t>建模与仿真确认及不确定性证据</w:t>
      </w:r>
    </w:p>
    <w:p w14:paraId="4670B476" w14:textId="77777777" w:rsidR="009B55B3" w:rsidRDefault="00CC309B">
      <w:pPr>
        <w:pStyle w:val="FirstParagraph"/>
      </w:pPr>
      <w:r>
        <w:rPr>
          <w:rFonts w:hint="eastAsia"/>
        </w:rPr>
        <w:t>应核查</w:t>
      </w:r>
      <w:r>
        <w:t xml:space="preserve"> GB/T 47025—2026 A.5 </w:t>
      </w:r>
      <w:r>
        <w:rPr>
          <w:rFonts w:hint="eastAsia"/>
        </w:rPr>
        <w:t>规定的建模与仿真确认及不确定性证据，至少包括性能观测量、真实世界数据与仿真数据的关键性能指标对比、相关性阈值及</w:t>
      </w:r>
      <w:r>
        <w:rPr>
          <w:rFonts w:hint="eastAsia"/>
        </w:rPr>
        <w:lastRenderedPageBreak/>
        <w:t>判定结果、用于确认工具链的逻辑场景和设计运行条件覆盖、确认对象和范围、模型确认证明、工具链整体可信的有效信息及审核记录。应核查不确定性特征文件、模型不确定性量化结果，以及仿真结果用于自动驾驶系统确认时所采用的安全裕度。</w:t>
      </w:r>
    </w:p>
    <w:p w14:paraId="6CC7F060" w14:textId="77777777" w:rsidR="009B55B3" w:rsidRDefault="00CC309B">
      <w:pPr>
        <w:pStyle w:val="3"/>
      </w:pPr>
      <w:bookmarkStart w:id="68" w:name="文件与追溯证据"/>
      <w:bookmarkEnd w:id="67"/>
      <w:r>
        <w:t xml:space="preserve">6.4.5 </w:t>
      </w:r>
      <w:r>
        <w:rPr>
          <w:rFonts w:hint="eastAsia"/>
        </w:rPr>
        <w:t>文件与追溯证据</w:t>
      </w:r>
    </w:p>
    <w:p w14:paraId="4D5D8717" w14:textId="77777777" w:rsidR="009B55B3" w:rsidRDefault="00CC309B">
      <w:pPr>
        <w:pStyle w:val="FirstParagraph"/>
      </w:pPr>
      <w:r>
        <w:rPr>
          <w:rFonts w:hint="eastAsia"/>
        </w:rPr>
        <w:t>应核查</w:t>
      </w:r>
      <w:r>
        <w:t xml:space="preserve"> GB/T 47025—2026 A.6 </w:t>
      </w:r>
      <w:r>
        <w:rPr>
          <w:rFonts w:hint="eastAsia"/>
        </w:rPr>
        <w:t>规定的文件与追溯证据，至少包括该附录各项仿真试验可信度要求及其对应证据、工具链发布版本和相关数据说明、评估文件与工具链及数据之间的溯源关系，以及覆盖工具链整个使用生命周期的保存记录。</w:t>
      </w:r>
    </w:p>
    <w:p w14:paraId="18144CB5" w14:textId="77777777" w:rsidR="009B55B3" w:rsidRDefault="00CC309B">
      <w:pPr>
        <w:pStyle w:val="3"/>
      </w:pPr>
      <w:bookmarkStart w:id="69" w:name="可信度等级判定"/>
      <w:bookmarkEnd w:id="68"/>
      <w:r>
        <w:t xml:space="preserve">6.5 </w:t>
      </w:r>
      <w:r>
        <w:rPr>
          <w:rFonts w:hint="eastAsia"/>
        </w:rPr>
        <w:t>可信度等级判定</w:t>
      </w:r>
    </w:p>
    <w:p w14:paraId="5DCF7CF1" w14:textId="77777777" w:rsidR="009B55B3" w:rsidRDefault="00CC309B">
      <w:pPr>
        <w:pStyle w:val="FirstParagraph"/>
      </w:pPr>
      <w:r>
        <w:rPr>
          <w:rFonts w:hint="eastAsia"/>
        </w:rPr>
        <w:t>进行可信度等级判定前，应依据关键性评估结果，核查</w:t>
      </w:r>
      <w:r>
        <w:t xml:space="preserve"> GB/T 47025—2026 </w:t>
      </w:r>
      <w:r>
        <w:rPr>
          <w:rFonts w:hint="eastAsia"/>
        </w:rPr>
        <w:t>附录</w:t>
      </w:r>
      <w:r>
        <w:t xml:space="preserve"> A </w:t>
      </w:r>
      <w:r>
        <w:rPr>
          <w:rFonts w:hint="eastAsia"/>
        </w:rPr>
        <w:t>和</w:t>
      </w:r>
      <w:r>
        <w:t xml:space="preserve"> 6.4 </w:t>
      </w:r>
      <w:r>
        <w:rPr>
          <w:rFonts w:hint="eastAsia"/>
        </w:rPr>
        <w:t>规定的适用要求及其证据。对于关键性评估确定需要遵守的要求，关键版本、数据谱系、相关性阈值、验证与确认记录等证据存在缺失或不可追溯情形时，不应进行可信度等级判定；评估报告应说明缺项、影响、整改要求和适用边界。</w:t>
      </w:r>
    </w:p>
    <w:p w14:paraId="7BF9046F" w14:textId="77777777" w:rsidR="009B55B3" w:rsidRDefault="00CC309B">
      <w:pPr>
        <w:pStyle w:val="a0"/>
      </w:pPr>
      <w:r>
        <w:rPr>
          <w:rFonts w:hint="eastAsia"/>
        </w:rPr>
        <w:t>根据各模块（交通流仿真模型、感知系统仿真、通信系统仿真、交通场景仿真、仿真测试软件的通用性）的评估结果，按权重计算综合得分。本文件推荐的权重分配（微观交通流仿真模型</w:t>
      </w:r>
      <w:r>
        <w:t xml:space="preserve"> </w:t>
      </w:r>
      <w:r>
        <w:rPr>
          <w:rFonts w:hint="eastAsia"/>
        </w:rPr>
        <w:t>30%</w:t>
      </w:r>
      <w:r>
        <w:rPr>
          <w:rFonts w:hint="eastAsia"/>
        </w:rPr>
        <w:t>，感知系统仿真</w:t>
      </w:r>
      <w:r>
        <w:t xml:space="preserve"> </w:t>
      </w:r>
      <w:r>
        <w:rPr>
          <w:rFonts w:hint="eastAsia"/>
        </w:rPr>
        <w:t>25%</w:t>
      </w:r>
      <w:r>
        <w:rPr>
          <w:rFonts w:hint="eastAsia"/>
        </w:rPr>
        <w:t>，通信系统仿真</w:t>
      </w:r>
      <w:r>
        <w:t xml:space="preserve"> </w:t>
      </w:r>
      <w:r>
        <w:rPr>
          <w:rFonts w:hint="eastAsia"/>
        </w:rPr>
        <w:t>10%</w:t>
      </w:r>
      <w:r>
        <w:rPr>
          <w:rFonts w:hint="eastAsia"/>
        </w:rPr>
        <w:t>，交通场景仿真</w:t>
      </w:r>
      <w:r>
        <w:t xml:space="preserve"> </w:t>
      </w:r>
      <w:r>
        <w:rPr>
          <w:rFonts w:hint="eastAsia"/>
        </w:rPr>
        <w:t>20%</w:t>
      </w:r>
      <w:r>
        <w:rPr>
          <w:rFonts w:hint="eastAsia"/>
        </w:rPr>
        <w:t>，仿真测试软件的通用性</w:t>
      </w:r>
      <w:r>
        <w:t xml:space="preserve"> </w:t>
      </w:r>
      <w:r>
        <w:rPr>
          <w:rFonts w:hint="eastAsia"/>
        </w:rPr>
        <w:t>15%</w:t>
      </w:r>
      <w:r>
        <w:rPr>
          <w:rFonts w:hint="eastAsia"/>
        </w:rPr>
        <w:t>）是基于行业调研和对各模块在</w:t>
      </w:r>
      <w:r>
        <w:t xml:space="preserve"> GB/T 40429—2021 </w:t>
      </w:r>
      <w:r>
        <w:rPr>
          <w:rFonts w:hint="eastAsia"/>
        </w:rPr>
        <w:t>规定的</w:t>
      </w:r>
      <w:r>
        <w:t xml:space="preserve"> 3 </w:t>
      </w:r>
      <w:r>
        <w:rPr>
          <w:rFonts w:hint="eastAsia"/>
        </w:rPr>
        <w:t>级及以上驾驶自动化系统测试中重要性分析得出的。评估方也可根据具体应用场景调整权重，但需在评估报告中明确说明。综合得分计算公式如下：</w:t>
      </w:r>
    </w:p>
    <w:tbl>
      <w:tblPr>
        <w:tblStyle w:val="Table"/>
        <w:tblW w:w="5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000" w:firstRow="0" w:lastRow="0" w:firstColumn="0" w:lastColumn="0" w:noHBand="0" w:noVBand="0"/>
      </w:tblPr>
      <w:tblGrid>
        <w:gridCol w:w="431"/>
        <w:gridCol w:w="6896"/>
        <w:gridCol w:w="1293"/>
      </w:tblGrid>
      <w:tr w:rsidR="009B55B3" w14:paraId="62491681" w14:textId="77777777" w:rsidTr="009B55B3">
        <w:trPr>
          <w:jc w:val="center"/>
        </w:trPr>
        <w:tc>
          <w:tcPr>
            <w:tcW w:w="396" w:type="dxa"/>
            <w:vAlign w:val="center"/>
          </w:tcPr>
          <w:p w14:paraId="1B2C2331" w14:textId="77777777" w:rsidR="009B55B3" w:rsidRDefault="009B55B3">
            <w:pPr>
              <w:pStyle w:val="Compact"/>
            </w:pPr>
          </w:p>
        </w:tc>
        <w:tc>
          <w:tcPr>
            <w:tcW w:w="6336" w:type="dxa"/>
            <w:vAlign w:val="center"/>
          </w:tcPr>
          <w:p w14:paraId="074ED4DD" w14:textId="77777777" w:rsidR="009B55B3" w:rsidRDefault="00CC309B">
            <w:pPr>
              <w:pStyle w:val="Compact"/>
              <w:jc w:val="center"/>
            </w:pPr>
            <m:oMathPara>
              <m:oMathParaPr>
                <m:jc m:val="center"/>
              </m:oMathParaPr>
              <m:oMath>
                <m:r>
                  <m:rPr>
                    <m:nor/>
                  </m:rPr>
                  <m:t>综合得分</m:t>
                </m:r>
                <m:r>
                  <m:rPr>
                    <m:sty m:val="p"/>
                  </m:rPr>
                  <w:rPr>
                    <w:rFonts w:ascii="Cambria Math" w:hAnsi="Cambria Math"/>
                  </w:rPr>
                  <m:t>=∑</m:t>
                </m:r>
                <m:r>
                  <m:rPr>
                    <m:sty m:val="p"/>
                  </m:rPr>
                  <w:rPr>
                    <w:rFonts w:ascii="Cambria Math" w:hAnsi="Cambria Math"/>
                  </w:rPr>
                  <m:t>（</m:t>
                </m:r>
                <m:r>
                  <m:rPr>
                    <m:nor/>
                  </m:rPr>
                  <m:t>模块得分</m:t>
                </m:r>
                <m:r>
                  <m:rPr>
                    <m:sty m:val="p"/>
                  </m:rPr>
                  <w:rPr>
                    <w:rFonts w:ascii="Cambria Math" w:hAnsi="Cambria Math"/>
                  </w:rPr>
                  <m:t>×</m:t>
                </m:r>
                <m:r>
                  <m:rPr>
                    <m:nor/>
                  </m:rPr>
                  <m:t>模块权重）</m:t>
                </m:r>
                <m:r>
                  <m:rPr>
                    <m:nor/>
                  </m:rPr>
                  <m:t xml:space="preserve"> </m:t>
                </m:r>
              </m:oMath>
            </m:oMathPara>
          </w:p>
        </w:tc>
        <w:tc>
          <w:tcPr>
            <w:tcW w:w="1188" w:type="dxa"/>
            <w:vAlign w:val="center"/>
          </w:tcPr>
          <w:p w14:paraId="7648CF64" w14:textId="77777777" w:rsidR="009B55B3" w:rsidRDefault="00CC309B">
            <w:pPr>
              <w:pStyle w:val="Compact"/>
              <w:jc w:val="right"/>
            </w:pPr>
            <w:r>
              <w:t>(1)</w:t>
            </w:r>
          </w:p>
        </w:tc>
      </w:tr>
    </w:tbl>
    <w:p w14:paraId="28F13159" w14:textId="77777777" w:rsidR="009B55B3" w:rsidRDefault="00CC309B">
      <w:pPr>
        <w:pStyle w:val="a0"/>
        <w:spacing w:beforeLines="50" w:before="120"/>
      </w:pPr>
      <w:r>
        <w:rPr>
          <w:rFonts w:hint="eastAsia"/>
        </w:rPr>
        <w:t>模块得分应为该模块下所有评估指标五级得分的平均值，每个指标的评分细则由评估方根据第</w:t>
      </w:r>
      <w:r>
        <w:rPr>
          <w:rFonts w:hint="eastAsia"/>
        </w:rPr>
        <w:t>5</w:t>
      </w:r>
      <w:r>
        <w:rPr>
          <w:rFonts w:hint="eastAsia"/>
        </w:rPr>
        <w:t>章的要求预先制定。</w:t>
      </w:r>
    </w:p>
    <w:p w14:paraId="47FEFF0B" w14:textId="77777777" w:rsidR="009B55B3" w:rsidRDefault="00CC309B">
      <w:pPr>
        <w:pStyle w:val="a0"/>
      </w:pPr>
      <w:r>
        <w:rPr>
          <w:rFonts w:hint="eastAsia"/>
        </w:rPr>
        <w:t>根据综合得分及各模块最低得分要求，将仿真测试软件的可信度划分为以下等</w:t>
      </w:r>
      <w:r>
        <w:rPr>
          <w:rFonts w:hint="eastAsia"/>
        </w:rPr>
        <w:lastRenderedPageBreak/>
        <w:t>级：</w:t>
      </w:r>
    </w:p>
    <w:p w14:paraId="1C8B2F6D" w14:textId="77777777" w:rsidR="009B55B3" w:rsidRDefault="00CC309B">
      <w:pPr>
        <w:pStyle w:val="a0"/>
      </w:pPr>
      <w:r>
        <w:rPr>
          <w:rFonts w:hint="eastAsia"/>
        </w:rPr>
        <w:t>A</w:t>
      </w:r>
      <w:r>
        <w:rPr>
          <w:rFonts w:hint="eastAsia"/>
        </w:rPr>
        <w:t>级（高可信）：综合得分不低于</w:t>
      </w:r>
      <w:r>
        <w:t xml:space="preserve"> 4.5 </w:t>
      </w:r>
      <w:r>
        <w:rPr>
          <w:rFonts w:hint="eastAsia"/>
        </w:rPr>
        <w:t>分，且各模块得分均不低于</w:t>
      </w:r>
      <w:r>
        <w:t xml:space="preserve"> 4 </w:t>
      </w:r>
      <w:r>
        <w:rPr>
          <w:rFonts w:hint="eastAsia"/>
        </w:rPr>
        <w:t>分。</w:t>
      </w:r>
      <w:r>
        <w:br/>
      </w:r>
      <w:r>
        <w:rPr>
          <w:rFonts w:hint="eastAsia"/>
        </w:rPr>
        <w:t>B</w:t>
      </w:r>
      <w:r>
        <w:rPr>
          <w:rFonts w:hint="eastAsia"/>
        </w:rPr>
        <w:t>级（中可信）：综合得分不低于</w:t>
      </w:r>
      <w:r>
        <w:t xml:space="preserve"> 3.5 </w:t>
      </w:r>
      <w:r>
        <w:rPr>
          <w:rFonts w:hint="eastAsia"/>
        </w:rPr>
        <w:t>分，且各模块得分均不低于</w:t>
      </w:r>
      <w:r>
        <w:t xml:space="preserve"> 3.5 </w:t>
      </w:r>
      <w:r>
        <w:rPr>
          <w:rFonts w:hint="eastAsia"/>
        </w:rPr>
        <w:t>分，但未达到</w:t>
      </w:r>
      <w:r>
        <w:rPr>
          <w:rFonts w:hint="eastAsia"/>
        </w:rPr>
        <w:t>A</w:t>
      </w:r>
      <w:r>
        <w:rPr>
          <w:rFonts w:hint="eastAsia"/>
        </w:rPr>
        <w:t>级条件。</w:t>
      </w:r>
      <w:r>
        <w:br/>
      </w:r>
      <w:r>
        <w:rPr>
          <w:rFonts w:hint="eastAsia"/>
        </w:rPr>
        <w:t>C</w:t>
      </w:r>
      <w:r>
        <w:rPr>
          <w:rFonts w:hint="eastAsia"/>
        </w:rPr>
        <w:t>级（低可信）：综合得分不低于</w:t>
      </w:r>
      <w:r>
        <w:t xml:space="preserve"> 3 </w:t>
      </w:r>
      <w:r>
        <w:rPr>
          <w:rFonts w:hint="eastAsia"/>
        </w:rPr>
        <w:t>分，但未达到</w:t>
      </w:r>
      <w:r>
        <w:rPr>
          <w:rFonts w:hint="eastAsia"/>
        </w:rPr>
        <w:t>A</w:t>
      </w:r>
      <w:r>
        <w:rPr>
          <w:rFonts w:hint="eastAsia"/>
        </w:rPr>
        <w:t>级或</w:t>
      </w:r>
      <w:r>
        <w:rPr>
          <w:rFonts w:hint="eastAsia"/>
        </w:rPr>
        <w:t>B</w:t>
      </w:r>
      <w:r>
        <w:rPr>
          <w:rFonts w:hint="eastAsia"/>
        </w:rPr>
        <w:t>级条件。</w:t>
      </w:r>
      <w:r>
        <w:br/>
      </w:r>
      <w:r>
        <w:rPr>
          <w:rFonts w:hint="eastAsia"/>
        </w:rPr>
        <w:t>D</w:t>
      </w:r>
      <w:r>
        <w:rPr>
          <w:rFonts w:hint="eastAsia"/>
        </w:rPr>
        <w:t>级（不可信）：综合得分低于</w:t>
      </w:r>
      <w:r>
        <w:t xml:space="preserve"> 3 </w:t>
      </w:r>
      <w:r>
        <w:rPr>
          <w:rFonts w:hint="eastAsia"/>
        </w:rPr>
        <w:t>分。</w:t>
      </w:r>
    </w:p>
    <w:p w14:paraId="22A727B0" w14:textId="77777777" w:rsidR="009B55B3" w:rsidRDefault="00CC309B">
      <w:pPr>
        <w:pStyle w:val="a0"/>
      </w:pPr>
      <w:r>
        <w:rPr>
          <w:rFonts w:hint="eastAsia"/>
        </w:rPr>
        <w:t>各模块的合格判定标准由评估方根据应用场景自行设定，但不得低于本文件中各指标的最低要求。</w:t>
      </w:r>
    </w:p>
    <w:p w14:paraId="52F5BB74" w14:textId="77777777" w:rsidR="00E756F9" w:rsidRDefault="00E756F9">
      <w:pPr>
        <w:widowControl/>
        <w:spacing w:after="200" w:line="240" w:lineRule="auto"/>
        <w:rPr>
          <w:rFonts w:eastAsia="黑体"/>
          <w:b/>
          <w:bCs/>
          <w:color w:val="000000"/>
          <w:sz w:val="32"/>
          <w:szCs w:val="32"/>
        </w:rPr>
      </w:pPr>
      <w:bookmarkStart w:id="70" w:name="附录-a"/>
      <w:bookmarkEnd w:id="59"/>
      <w:bookmarkEnd w:id="69"/>
      <w:r>
        <w:br w:type="page"/>
      </w:r>
    </w:p>
    <w:p w14:paraId="01AA6288" w14:textId="6CBABD1C" w:rsidR="009B55B3" w:rsidRDefault="00CC309B">
      <w:pPr>
        <w:pStyle w:val="2"/>
      </w:pPr>
      <w:r>
        <w:rPr>
          <w:rFonts w:hint="eastAsia"/>
        </w:rPr>
        <w:lastRenderedPageBreak/>
        <w:t>附录</w:t>
      </w:r>
      <w:r>
        <w:t xml:space="preserve"> A</w:t>
      </w:r>
    </w:p>
    <w:p w14:paraId="0092BBD9" w14:textId="77777777" w:rsidR="009B55B3" w:rsidRDefault="00CC309B">
      <w:pPr>
        <w:pStyle w:val="FirstParagraph"/>
      </w:pPr>
      <w:r>
        <w:rPr>
          <w:rFonts w:hint="eastAsia"/>
        </w:rPr>
        <w:t>（资料性）</w:t>
      </w:r>
    </w:p>
    <w:p w14:paraId="183D2F68" w14:textId="77777777" w:rsidR="009B55B3" w:rsidRDefault="00CC309B">
      <w:pPr>
        <w:pStyle w:val="3"/>
      </w:pPr>
      <w:bookmarkStart w:id="71" w:name="gbt-470252026-附录-a-与本文件的对应关系"/>
      <w:r>
        <w:t xml:space="preserve">GB/T 47025—2026 </w:t>
      </w:r>
      <w:r>
        <w:rPr>
          <w:rFonts w:hint="eastAsia"/>
        </w:rPr>
        <w:t>附录</w:t>
      </w:r>
      <w:r>
        <w:t xml:space="preserve"> A </w:t>
      </w:r>
      <w:r>
        <w:rPr>
          <w:rFonts w:hint="eastAsia"/>
        </w:rPr>
        <w:t>与本文件的对应关系</w:t>
      </w:r>
    </w:p>
    <w:p w14:paraId="7E505C66" w14:textId="77777777" w:rsidR="009B55B3" w:rsidRDefault="00CC309B">
      <w:pPr>
        <w:pStyle w:val="FirstParagraph"/>
      </w:pPr>
      <w:r>
        <w:rPr>
          <w:rFonts w:hint="eastAsia"/>
        </w:rPr>
        <w:t>本附录给出了</w:t>
      </w:r>
      <w:r>
        <w:t xml:space="preserve"> GB/T 47025—2026 </w:t>
      </w:r>
      <w:r>
        <w:rPr>
          <w:rFonts w:hint="eastAsia"/>
        </w:rPr>
        <w:t>附录</w:t>
      </w:r>
      <w:r>
        <w:t xml:space="preserve"> A </w:t>
      </w:r>
      <w:r>
        <w:rPr>
          <w:rFonts w:hint="eastAsia"/>
        </w:rPr>
        <w:t>与本文件相关条款的对应关系，并说明本文件在其通用可信度评估框架基础上的细化内容和配套使用关系。</w:t>
      </w:r>
    </w:p>
    <w:p w14:paraId="6BF5A7E6" w14:textId="77777777" w:rsidR="009B55B3" w:rsidRDefault="00CC309B">
      <w:pPr>
        <w:pStyle w:val="3"/>
      </w:pPr>
      <w:bookmarkStart w:id="72" w:name="a.1-条款对应关系"/>
      <w:bookmarkEnd w:id="71"/>
      <w:r>
        <w:t xml:space="preserve">A.1 </w:t>
      </w:r>
      <w:r>
        <w:rPr>
          <w:rFonts w:hint="eastAsia"/>
        </w:rPr>
        <w:t>条款对应关系</w:t>
      </w:r>
    </w:p>
    <w:p w14:paraId="4A3715B8" w14:textId="77777777" w:rsidR="009B55B3" w:rsidRDefault="00CC309B">
      <w:pPr>
        <w:pStyle w:val="FirstParagraph"/>
      </w:pPr>
      <w:r>
        <w:t xml:space="preserve">GB/T 47025—2026 </w:t>
      </w:r>
      <w:r>
        <w:rPr>
          <w:rFonts w:hint="eastAsia"/>
        </w:rPr>
        <w:t>附录</w:t>
      </w:r>
      <w:r>
        <w:t xml:space="preserve"> A </w:t>
      </w:r>
      <w:r>
        <w:rPr>
          <w:rFonts w:hint="eastAsia"/>
        </w:rPr>
        <w:t>与本文件的条款对应关系见表</w:t>
      </w:r>
      <w:r>
        <w:t xml:space="preserve"> A.1</w:t>
      </w:r>
      <w:r>
        <w:t>。</w:t>
      </w:r>
    </w:p>
    <w:p w14:paraId="3E4914BA" w14:textId="77777777" w:rsidR="009B55B3" w:rsidRDefault="00CC309B">
      <w:pPr>
        <w:pStyle w:val="a0"/>
      </w:pPr>
      <w:r>
        <w:rPr>
          <w:rFonts w:hint="eastAsia"/>
        </w:rPr>
        <w:t>表</w:t>
      </w:r>
      <w:r>
        <w:t xml:space="preserve"> A.1 GB/T 47025—2026 </w:t>
      </w:r>
      <w:r>
        <w:rPr>
          <w:rFonts w:hint="eastAsia"/>
        </w:rPr>
        <w:t>附录</w:t>
      </w:r>
      <w:r>
        <w:t xml:space="preserve"> A </w:t>
      </w:r>
      <w:r>
        <w:rPr>
          <w:rFonts w:hint="eastAsia"/>
        </w:rPr>
        <w:t>与本文件的条款对应关系</w:t>
      </w:r>
    </w:p>
    <w:tbl>
      <w:tblPr>
        <w:tblStyle w:val="Table"/>
        <w:tblW w:w="5000" w:type="pct"/>
        <w:jc w:val="center"/>
        <w:tblLook w:val="0020" w:firstRow="1" w:lastRow="0" w:firstColumn="0" w:lastColumn="0" w:noHBand="0" w:noVBand="0"/>
      </w:tblPr>
      <w:tblGrid>
        <w:gridCol w:w="3599"/>
        <w:gridCol w:w="2992"/>
        <w:gridCol w:w="2029"/>
      </w:tblGrid>
      <w:tr w:rsidR="009B55B3" w14:paraId="42E8F841" w14:textId="77777777" w:rsidTr="009B55B3">
        <w:trPr>
          <w:cnfStyle w:val="100000000000" w:firstRow="1" w:lastRow="0" w:firstColumn="0" w:lastColumn="0" w:oddVBand="0" w:evenVBand="0" w:oddHBand="0" w:evenHBand="0" w:firstRowFirstColumn="0" w:firstRowLastColumn="0" w:lastRowFirstColumn="0" w:lastRowLastColumn="0"/>
          <w:jc w:val="center"/>
        </w:trPr>
        <w:tc>
          <w:tcPr>
            <w:tcW w:w="0" w:type="auto"/>
            <w:vAlign w:val="center"/>
          </w:tcPr>
          <w:p w14:paraId="14ACF818" w14:textId="77777777" w:rsidR="009B55B3" w:rsidRDefault="00CC309B">
            <w:pPr>
              <w:pStyle w:val="Compact"/>
              <w:spacing w:line="240" w:lineRule="auto"/>
              <w:jc w:val="center"/>
            </w:pPr>
            <w:r>
              <w:rPr>
                <w:b/>
                <w:bCs/>
              </w:rPr>
              <w:t xml:space="preserve">GB/T 47025—2026 </w:t>
            </w:r>
            <w:r>
              <w:rPr>
                <w:rFonts w:hint="eastAsia"/>
                <w:b/>
                <w:bCs/>
              </w:rPr>
              <w:t>附录</w:t>
            </w:r>
            <w:r>
              <w:rPr>
                <w:b/>
                <w:bCs/>
              </w:rPr>
              <w:t xml:space="preserve"> A </w:t>
            </w:r>
            <w:r>
              <w:rPr>
                <w:rFonts w:hint="eastAsia"/>
                <w:b/>
                <w:bCs/>
              </w:rPr>
              <w:t>条款</w:t>
            </w:r>
          </w:p>
        </w:tc>
        <w:tc>
          <w:tcPr>
            <w:tcW w:w="0" w:type="auto"/>
            <w:vAlign w:val="center"/>
          </w:tcPr>
          <w:p w14:paraId="4AB66000" w14:textId="77777777" w:rsidR="009B55B3" w:rsidRDefault="00CC309B">
            <w:pPr>
              <w:pStyle w:val="Compact"/>
              <w:spacing w:line="240" w:lineRule="auto"/>
              <w:jc w:val="center"/>
              <w:cnfStyle w:val="000000000000" w:firstRow="0" w:lastRow="0" w:firstColumn="0" w:lastColumn="0" w:oddVBand="0" w:evenVBand="0" w:oddHBand="0" w:evenHBand="0" w:firstRowFirstColumn="0" w:firstRowLastColumn="0" w:lastRowFirstColumn="0" w:lastRowLastColumn="0"/>
            </w:pPr>
            <w:r>
              <w:rPr>
                <w:rFonts w:hint="eastAsia"/>
                <w:b/>
                <w:bCs/>
              </w:rPr>
              <w:t>主要内容</w:t>
            </w:r>
          </w:p>
        </w:tc>
        <w:tc>
          <w:tcPr>
            <w:tcW w:w="0" w:type="auto"/>
            <w:vAlign w:val="center"/>
          </w:tcPr>
          <w:p w14:paraId="518DAB14" w14:textId="77777777" w:rsidR="009B55B3" w:rsidRDefault="00CC309B">
            <w:pPr>
              <w:pStyle w:val="Compact"/>
              <w:spacing w:line="240" w:lineRule="auto"/>
              <w:jc w:val="center"/>
              <w:cnfStyle w:val="000000000000" w:firstRow="0" w:lastRow="0" w:firstColumn="0" w:lastColumn="0" w:oddVBand="0" w:evenVBand="0" w:oddHBand="0" w:evenHBand="0" w:firstRowFirstColumn="0" w:firstRowLastColumn="0" w:lastRowFirstColumn="0" w:lastRowLastColumn="0"/>
            </w:pPr>
            <w:r>
              <w:rPr>
                <w:rFonts w:hint="eastAsia"/>
                <w:b/>
                <w:bCs/>
              </w:rPr>
              <w:t>本文件相关条款</w:t>
            </w:r>
          </w:p>
        </w:tc>
      </w:tr>
      <w:tr w:rsidR="009B55B3" w14:paraId="227E485A" w14:textId="77777777" w:rsidTr="009B55B3">
        <w:trPr>
          <w:jc w:val="center"/>
        </w:trPr>
        <w:tc>
          <w:tcPr>
            <w:tcW w:w="0" w:type="auto"/>
            <w:vAlign w:val="center"/>
          </w:tcPr>
          <w:p w14:paraId="7E88B538" w14:textId="77777777" w:rsidR="009B55B3" w:rsidRDefault="00CC309B">
            <w:pPr>
              <w:pStyle w:val="Compact"/>
              <w:spacing w:line="240" w:lineRule="auto"/>
              <w:jc w:val="center"/>
            </w:pPr>
            <w:r>
              <w:t>A.1</w:t>
            </w:r>
          </w:p>
        </w:tc>
        <w:tc>
          <w:tcPr>
            <w:tcW w:w="0" w:type="auto"/>
            <w:vAlign w:val="center"/>
          </w:tcPr>
          <w:p w14:paraId="5D9D1CDA" w14:textId="77777777" w:rsidR="009B55B3" w:rsidRDefault="00CC309B">
            <w:pPr>
              <w:pStyle w:val="Compact"/>
              <w:spacing w:line="240" w:lineRule="auto"/>
              <w:jc w:val="center"/>
            </w:pPr>
            <w:r>
              <w:rPr>
                <w:rFonts w:hint="eastAsia"/>
              </w:rPr>
              <w:t>仿真试验可信度评估框架</w:t>
            </w:r>
          </w:p>
        </w:tc>
        <w:tc>
          <w:tcPr>
            <w:tcW w:w="0" w:type="auto"/>
            <w:vAlign w:val="center"/>
          </w:tcPr>
          <w:p w14:paraId="6F68CC9B" w14:textId="77777777" w:rsidR="009B55B3" w:rsidRDefault="00CC309B">
            <w:pPr>
              <w:pStyle w:val="Compact"/>
              <w:spacing w:line="240" w:lineRule="auto"/>
              <w:jc w:val="center"/>
            </w:pPr>
            <w:r>
              <w:rPr>
                <w:rFonts w:hint="eastAsia"/>
              </w:rPr>
              <w:t>第</w:t>
            </w:r>
            <w:r>
              <w:rPr>
                <w:rFonts w:hint="eastAsia"/>
              </w:rPr>
              <w:t>4</w:t>
            </w:r>
            <w:r>
              <w:rPr>
                <w:rFonts w:hint="eastAsia"/>
              </w:rPr>
              <w:t>章、</w:t>
            </w:r>
            <w:r>
              <w:rPr>
                <w:rFonts w:hint="eastAsia"/>
              </w:rPr>
              <w:t>6.4</w:t>
            </w:r>
          </w:p>
        </w:tc>
      </w:tr>
      <w:tr w:rsidR="009B55B3" w14:paraId="1A014451" w14:textId="77777777" w:rsidTr="009B55B3">
        <w:trPr>
          <w:jc w:val="center"/>
        </w:trPr>
        <w:tc>
          <w:tcPr>
            <w:tcW w:w="0" w:type="auto"/>
            <w:vAlign w:val="center"/>
          </w:tcPr>
          <w:p w14:paraId="61AA69DA" w14:textId="77777777" w:rsidR="009B55B3" w:rsidRDefault="00CC309B">
            <w:pPr>
              <w:pStyle w:val="Compact"/>
              <w:spacing w:line="240" w:lineRule="auto"/>
              <w:jc w:val="center"/>
            </w:pPr>
            <w:r>
              <w:t>A.2</w:t>
            </w:r>
          </w:p>
        </w:tc>
        <w:tc>
          <w:tcPr>
            <w:tcW w:w="0" w:type="auto"/>
            <w:vAlign w:val="center"/>
          </w:tcPr>
          <w:p w14:paraId="61ABC322" w14:textId="77777777" w:rsidR="009B55B3" w:rsidRDefault="00CC309B">
            <w:pPr>
              <w:pStyle w:val="Compact"/>
              <w:spacing w:line="240" w:lineRule="auto"/>
              <w:jc w:val="center"/>
            </w:pPr>
            <w:r>
              <w:rPr>
                <w:rFonts w:hint="eastAsia"/>
              </w:rPr>
              <w:t>建模与仿真管理</w:t>
            </w:r>
          </w:p>
        </w:tc>
        <w:tc>
          <w:tcPr>
            <w:tcW w:w="0" w:type="auto"/>
            <w:vAlign w:val="center"/>
          </w:tcPr>
          <w:p w14:paraId="1569E19F" w14:textId="77777777" w:rsidR="009B55B3" w:rsidRDefault="00CC309B">
            <w:pPr>
              <w:pStyle w:val="Compact"/>
              <w:spacing w:line="240" w:lineRule="auto"/>
              <w:jc w:val="center"/>
            </w:pPr>
            <w:r>
              <w:t>6.4.1</w:t>
            </w:r>
          </w:p>
        </w:tc>
      </w:tr>
      <w:tr w:rsidR="009B55B3" w14:paraId="429266DE" w14:textId="77777777" w:rsidTr="009B55B3">
        <w:trPr>
          <w:jc w:val="center"/>
        </w:trPr>
        <w:tc>
          <w:tcPr>
            <w:tcW w:w="0" w:type="auto"/>
            <w:vAlign w:val="center"/>
          </w:tcPr>
          <w:p w14:paraId="3DA689B4" w14:textId="77777777" w:rsidR="009B55B3" w:rsidRDefault="00CC309B">
            <w:pPr>
              <w:pStyle w:val="Compact"/>
              <w:spacing w:line="240" w:lineRule="auto"/>
              <w:jc w:val="center"/>
            </w:pPr>
            <w:r>
              <w:t>A.3</w:t>
            </w:r>
          </w:p>
        </w:tc>
        <w:tc>
          <w:tcPr>
            <w:tcW w:w="0" w:type="auto"/>
            <w:vAlign w:val="center"/>
          </w:tcPr>
          <w:p w14:paraId="38FD93A9" w14:textId="77777777" w:rsidR="009B55B3" w:rsidRDefault="00CC309B">
            <w:pPr>
              <w:pStyle w:val="Compact"/>
              <w:spacing w:line="240" w:lineRule="auto"/>
              <w:jc w:val="center"/>
            </w:pPr>
            <w:r>
              <w:rPr>
                <w:rFonts w:hint="eastAsia"/>
              </w:rPr>
              <w:t>建模与仿真分析</w:t>
            </w:r>
          </w:p>
        </w:tc>
        <w:tc>
          <w:tcPr>
            <w:tcW w:w="0" w:type="auto"/>
            <w:vAlign w:val="center"/>
          </w:tcPr>
          <w:p w14:paraId="731688FE" w14:textId="77777777" w:rsidR="009B55B3" w:rsidRDefault="00CC309B">
            <w:pPr>
              <w:pStyle w:val="Compact"/>
              <w:spacing w:line="240" w:lineRule="auto"/>
              <w:jc w:val="center"/>
            </w:pPr>
            <w:r>
              <w:t>6.4.2</w:t>
            </w:r>
            <w:r>
              <w:t>、</w:t>
            </w:r>
            <w:r>
              <w:t>6.5</w:t>
            </w:r>
          </w:p>
        </w:tc>
      </w:tr>
      <w:tr w:rsidR="009B55B3" w14:paraId="0EFC0C97" w14:textId="77777777" w:rsidTr="009B55B3">
        <w:trPr>
          <w:jc w:val="center"/>
        </w:trPr>
        <w:tc>
          <w:tcPr>
            <w:tcW w:w="0" w:type="auto"/>
            <w:vAlign w:val="center"/>
          </w:tcPr>
          <w:p w14:paraId="05813063" w14:textId="77777777" w:rsidR="009B55B3" w:rsidRDefault="00CC309B">
            <w:pPr>
              <w:pStyle w:val="Compact"/>
              <w:spacing w:line="240" w:lineRule="auto"/>
              <w:jc w:val="center"/>
            </w:pPr>
            <w:r>
              <w:t>A.4</w:t>
            </w:r>
          </w:p>
        </w:tc>
        <w:tc>
          <w:tcPr>
            <w:tcW w:w="0" w:type="auto"/>
            <w:vAlign w:val="center"/>
          </w:tcPr>
          <w:p w14:paraId="482A025B" w14:textId="77777777" w:rsidR="009B55B3" w:rsidRDefault="00CC309B">
            <w:pPr>
              <w:pStyle w:val="Compact"/>
              <w:spacing w:line="240" w:lineRule="auto"/>
              <w:jc w:val="center"/>
            </w:pPr>
            <w:r>
              <w:rPr>
                <w:rFonts w:hint="eastAsia"/>
              </w:rPr>
              <w:t>建模与仿真验证</w:t>
            </w:r>
          </w:p>
        </w:tc>
        <w:tc>
          <w:tcPr>
            <w:tcW w:w="0" w:type="auto"/>
            <w:vAlign w:val="center"/>
          </w:tcPr>
          <w:p w14:paraId="0EA94656" w14:textId="77777777" w:rsidR="009B55B3" w:rsidRDefault="00CC309B">
            <w:pPr>
              <w:pStyle w:val="Compact"/>
              <w:spacing w:line="240" w:lineRule="auto"/>
              <w:jc w:val="center"/>
            </w:pPr>
            <w:r>
              <w:t>6.4.3</w:t>
            </w:r>
          </w:p>
        </w:tc>
      </w:tr>
      <w:tr w:rsidR="009B55B3" w14:paraId="2CF84668" w14:textId="77777777" w:rsidTr="009B55B3">
        <w:trPr>
          <w:jc w:val="center"/>
        </w:trPr>
        <w:tc>
          <w:tcPr>
            <w:tcW w:w="0" w:type="auto"/>
            <w:vAlign w:val="center"/>
          </w:tcPr>
          <w:p w14:paraId="767BAAEF" w14:textId="77777777" w:rsidR="009B55B3" w:rsidRDefault="00CC309B">
            <w:pPr>
              <w:pStyle w:val="Compact"/>
              <w:spacing w:line="240" w:lineRule="auto"/>
              <w:jc w:val="center"/>
            </w:pPr>
            <w:r>
              <w:t>A.5</w:t>
            </w:r>
          </w:p>
        </w:tc>
        <w:tc>
          <w:tcPr>
            <w:tcW w:w="0" w:type="auto"/>
            <w:vAlign w:val="center"/>
          </w:tcPr>
          <w:p w14:paraId="015987DE" w14:textId="77777777" w:rsidR="009B55B3" w:rsidRDefault="00CC309B">
            <w:pPr>
              <w:pStyle w:val="Compact"/>
              <w:spacing w:line="240" w:lineRule="auto"/>
              <w:jc w:val="center"/>
            </w:pPr>
            <w:r>
              <w:rPr>
                <w:rFonts w:hint="eastAsia"/>
              </w:rPr>
              <w:t>建模与仿真确认</w:t>
            </w:r>
          </w:p>
        </w:tc>
        <w:tc>
          <w:tcPr>
            <w:tcW w:w="0" w:type="auto"/>
            <w:vAlign w:val="center"/>
          </w:tcPr>
          <w:p w14:paraId="62BDF8A2" w14:textId="77777777" w:rsidR="009B55B3" w:rsidRDefault="00CC309B">
            <w:pPr>
              <w:pStyle w:val="Compact"/>
              <w:spacing w:line="240" w:lineRule="auto"/>
              <w:jc w:val="center"/>
            </w:pPr>
            <w:r>
              <w:t>6.1</w:t>
            </w:r>
            <w:r>
              <w:t>、</w:t>
            </w:r>
            <w:r>
              <w:t>6.3</w:t>
            </w:r>
            <w:r>
              <w:t>、</w:t>
            </w:r>
            <w:r>
              <w:t>6.4.4</w:t>
            </w:r>
          </w:p>
        </w:tc>
      </w:tr>
      <w:tr w:rsidR="009B55B3" w14:paraId="71FFB1C0" w14:textId="77777777" w:rsidTr="009B55B3">
        <w:trPr>
          <w:jc w:val="center"/>
        </w:trPr>
        <w:tc>
          <w:tcPr>
            <w:tcW w:w="0" w:type="auto"/>
            <w:vAlign w:val="center"/>
          </w:tcPr>
          <w:p w14:paraId="4BB1C3C5" w14:textId="77777777" w:rsidR="009B55B3" w:rsidRDefault="00CC309B">
            <w:pPr>
              <w:pStyle w:val="Compact"/>
              <w:spacing w:line="240" w:lineRule="auto"/>
              <w:jc w:val="center"/>
            </w:pPr>
            <w:r>
              <w:t>A.6</w:t>
            </w:r>
          </w:p>
        </w:tc>
        <w:tc>
          <w:tcPr>
            <w:tcW w:w="0" w:type="auto"/>
            <w:vAlign w:val="center"/>
          </w:tcPr>
          <w:p w14:paraId="7DB03B0C" w14:textId="77777777" w:rsidR="009B55B3" w:rsidRDefault="00CC309B">
            <w:pPr>
              <w:pStyle w:val="Compact"/>
              <w:spacing w:line="240" w:lineRule="auto"/>
              <w:jc w:val="center"/>
            </w:pPr>
            <w:r>
              <w:rPr>
                <w:rFonts w:hint="eastAsia"/>
              </w:rPr>
              <w:t>文件要求</w:t>
            </w:r>
          </w:p>
        </w:tc>
        <w:tc>
          <w:tcPr>
            <w:tcW w:w="0" w:type="auto"/>
            <w:vAlign w:val="center"/>
          </w:tcPr>
          <w:p w14:paraId="6CD63D6F" w14:textId="77777777" w:rsidR="009B55B3" w:rsidRDefault="00CC309B">
            <w:pPr>
              <w:pStyle w:val="Compact"/>
              <w:spacing w:line="240" w:lineRule="auto"/>
              <w:jc w:val="center"/>
            </w:pPr>
            <w:r>
              <w:t>6.4.5</w:t>
            </w:r>
          </w:p>
        </w:tc>
      </w:tr>
    </w:tbl>
    <w:p w14:paraId="7952F846" w14:textId="77777777" w:rsidR="009B55B3" w:rsidRDefault="00CC309B">
      <w:pPr>
        <w:pStyle w:val="3"/>
      </w:pPr>
      <w:bookmarkStart w:id="73" w:name="a.2-本文件的细化内容"/>
      <w:bookmarkEnd w:id="72"/>
      <w:r>
        <w:t xml:space="preserve">A.2 </w:t>
      </w:r>
      <w:r>
        <w:rPr>
          <w:rFonts w:hint="eastAsia"/>
        </w:rPr>
        <w:t>本文件的细化内容</w:t>
      </w:r>
    </w:p>
    <w:p w14:paraId="7F0B9A6D" w14:textId="77777777" w:rsidR="009B55B3" w:rsidRDefault="00CC309B">
      <w:pPr>
        <w:pStyle w:val="FirstParagraph"/>
      </w:pPr>
      <w:r>
        <w:rPr>
          <w:rFonts w:hint="eastAsia"/>
        </w:rPr>
        <w:t>在</w:t>
      </w:r>
      <w:r>
        <w:t xml:space="preserve"> GB/T 47025—2026 </w:t>
      </w:r>
      <w:r>
        <w:rPr>
          <w:rFonts w:hint="eastAsia"/>
        </w:rPr>
        <w:t>附录</w:t>
      </w:r>
      <w:r>
        <w:t xml:space="preserve"> A </w:t>
      </w:r>
      <w:r>
        <w:rPr>
          <w:rFonts w:hint="eastAsia"/>
        </w:rPr>
        <w:t>给出的通用可信度评估框架基础上，本文件针对智能网联汽车交通仿真测试软件，从下列方面细化技术内容：</w:t>
      </w:r>
    </w:p>
    <w:p w14:paraId="7B303151" w14:textId="77777777" w:rsidR="009B55B3" w:rsidRDefault="00CC309B">
      <w:pPr>
        <w:pStyle w:val="a0"/>
      </w:pPr>
      <w:r>
        <w:t xml:space="preserve">a) </w:t>
      </w:r>
      <w:r>
        <w:rPr>
          <w:rFonts w:hint="eastAsia"/>
        </w:rPr>
        <w:t>专业能力评估包括交通流仿真、感知系统仿真、通信系统仿真、交通场景仿真和仿真测试软件通用性五个模块，并将运行鲁棒性、数据安全与隐私保护作为支撑性要求；</w:t>
      </w:r>
      <w:r>
        <w:br/>
        <w:t xml:space="preserve">b) </w:t>
      </w:r>
      <w:r>
        <w:rPr>
          <w:rFonts w:hint="eastAsia"/>
        </w:rPr>
        <w:t>指标内容涉及交通行为、传感器输出、通信性能、场景几何与动态过程，以</w:t>
      </w:r>
      <w:r>
        <w:rPr>
          <w:rFonts w:hint="eastAsia"/>
        </w:rPr>
        <w:lastRenderedPageBreak/>
        <w:t>及软件接口、实时性、带宽和可靠性等可测量对象；</w:t>
      </w:r>
      <w:r>
        <w:br/>
        <w:t xml:space="preserve">c) </w:t>
      </w:r>
      <w:r>
        <w:rPr>
          <w:rFonts w:hint="eastAsia"/>
        </w:rPr>
        <w:t>评估实施包括数据对比、专家评审和仿真</w:t>
      </w:r>
      <w:r>
        <w:rPr>
          <w:rFonts w:hint="eastAsia"/>
        </w:rPr>
        <w:t>-</w:t>
      </w:r>
      <w:r>
        <w:rPr>
          <w:rFonts w:hint="eastAsia"/>
        </w:rPr>
        <w:t>实车联合验证等方法，其中</w:t>
      </w:r>
      <w:r>
        <w:t xml:space="preserve"> GB/T 47025—2026 </w:t>
      </w:r>
      <w:r>
        <w:rPr>
          <w:rFonts w:hint="eastAsia"/>
        </w:rPr>
        <w:t>附录</w:t>
      </w:r>
      <w:r>
        <w:t xml:space="preserve"> A </w:t>
      </w:r>
      <w:r>
        <w:rPr>
          <w:rFonts w:hint="eastAsia"/>
        </w:rPr>
        <w:t>规定的适用要求和可信度证据要求是开展等级判定的前提，专业能力指标通过模块评分、综合得分和等级判定形成评估结果；</w:t>
      </w:r>
      <w:r>
        <w:br/>
        <w:t xml:space="preserve">d) </w:t>
      </w:r>
      <w:r>
        <w:rPr>
          <w:rFonts w:hint="eastAsia"/>
        </w:rPr>
        <w:t>评估用途包括仿真测试软件开发自评估、整车及系统企业选型评估、第三方机构独立评估，以及相关测试服务和工具链能力评价。</w:t>
      </w:r>
    </w:p>
    <w:p w14:paraId="02E0FC05" w14:textId="77777777" w:rsidR="009B55B3" w:rsidRDefault="00CC309B">
      <w:pPr>
        <w:pStyle w:val="3"/>
      </w:pPr>
      <w:bookmarkStart w:id="74" w:name="a.3-配套使用"/>
      <w:bookmarkEnd w:id="73"/>
      <w:r>
        <w:t xml:space="preserve">A.3 </w:t>
      </w:r>
      <w:r>
        <w:rPr>
          <w:rFonts w:hint="eastAsia"/>
        </w:rPr>
        <w:t>配套使用</w:t>
      </w:r>
    </w:p>
    <w:p w14:paraId="0C310E95" w14:textId="77777777" w:rsidR="009B55B3" w:rsidRDefault="00CC309B">
      <w:pPr>
        <w:pStyle w:val="FirstParagraph"/>
      </w:pPr>
      <w:r>
        <w:t xml:space="preserve">GB/T 47025—2026 </w:t>
      </w:r>
      <w:r>
        <w:rPr>
          <w:rFonts w:hint="eastAsia"/>
        </w:rPr>
        <w:t>附录</w:t>
      </w:r>
      <w:r>
        <w:t xml:space="preserve"> A </w:t>
      </w:r>
      <w:r>
        <w:rPr>
          <w:rFonts w:hint="eastAsia"/>
        </w:rPr>
        <w:t>给出了仿真试验工具链及相关模型的通用可信度要求。本文件在该通用框架基础上，进一步给出交通仿真测试软件专业能力的评估内容、指标、方法和等级判定，其评估结果为软件适用性判断提供补充信息。</w:t>
      </w:r>
      <w:r>
        <w:rPr>
          <w:rFonts w:hint="eastAsia"/>
        </w:rPr>
        <w:t>GB/T</w:t>
      </w:r>
      <w:r>
        <w:t xml:space="preserve"> 47025—2026 </w:t>
      </w:r>
      <w:r>
        <w:rPr>
          <w:rFonts w:hint="eastAsia"/>
        </w:rPr>
        <w:t>附录</w:t>
      </w:r>
      <w:r>
        <w:t xml:space="preserve"> A </w:t>
      </w:r>
      <w:r>
        <w:rPr>
          <w:rFonts w:hint="eastAsia"/>
        </w:rPr>
        <w:t>的通用可信度评估与本文件的专业能力评估均与软件版本、工具链配置、模型、数据条件和预定应用场景相关，具体关联要求见第</w:t>
      </w:r>
      <w:r>
        <w:rPr>
          <w:rFonts w:hint="eastAsia"/>
        </w:rPr>
        <w:t>4</w:t>
      </w:r>
      <w:r>
        <w:rPr>
          <w:rFonts w:hint="eastAsia"/>
        </w:rPr>
        <w:t>章。</w:t>
      </w:r>
    </w:p>
    <w:p w14:paraId="074A55B3" w14:textId="77777777" w:rsidR="00E756F9" w:rsidRDefault="00E756F9">
      <w:pPr>
        <w:widowControl/>
        <w:spacing w:after="200" w:line="240" w:lineRule="auto"/>
        <w:rPr>
          <w:rFonts w:eastAsia="黑体"/>
          <w:b/>
          <w:bCs/>
          <w:color w:val="000000"/>
          <w:sz w:val="32"/>
          <w:szCs w:val="32"/>
        </w:rPr>
      </w:pPr>
      <w:bookmarkStart w:id="75" w:name="参考文献"/>
      <w:bookmarkEnd w:id="70"/>
      <w:bookmarkEnd w:id="74"/>
      <w:r>
        <w:br w:type="page"/>
      </w:r>
    </w:p>
    <w:p w14:paraId="51091789" w14:textId="38253AB7" w:rsidR="009B55B3" w:rsidRDefault="00CC309B">
      <w:pPr>
        <w:pStyle w:val="2"/>
      </w:pPr>
      <w:r>
        <w:rPr>
          <w:rFonts w:hint="eastAsia"/>
        </w:rPr>
        <w:lastRenderedPageBreak/>
        <w:t>参考文献</w:t>
      </w:r>
    </w:p>
    <w:p w14:paraId="64D8D673" w14:textId="77777777" w:rsidR="009B55B3" w:rsidRDefault="00CC309B">
      <w:pPr>
        <w:pStyle w:val="FirstParagraph"/>
      </w:pPr>
      <w:r>
        <w:t xml:space="preserve">[1] </w:t>
      </w:r>
      <w:r>
        <w:rPr>
          <w:rFonts w:hint="eastAsia"/>
        </w:rPr>
        <w:t>工业和信息化部，国家标准化管理委员会</w:t>
      </w:r>
      <w:r>
        <w:rPr>
          <w:rFonts w:hint="eastAsia"/>
        </w:rPr>
        <w:t>.</w:t>
      </w:r>
      <w:r>
        <w:t xml:space="preserve"> </w:t>
      </w:r>
      <w:r>
        <w:rPr>
          <w:rFonts w:hint="eastAsia"/>
        </w:rPr>
        <w:t>国家车联网产业标准体系建设指南（智能网联汽车）（</w:t>
      </w:r>
      <w:r>
        <w:rPr>
          <w:rFonts w:hint="eastAsia"/>
        </w:rPr>
        <w:t>2023</w:t>
      </w:r>
      <w:r>
        <w:rPr>
          <w:rFonts w:hint="eastAsia"/>
        </w:rPr>
        <w:t>版）：工信部联科〔</w:t>
      </w:r>
      <w:r>
        <w:rPr>
          <w:rFonts w:hint="eastAsia"/>
        </w:rPr>
        <w:t>2023</w:t>
      </w:r>
      <w:r>
        <w:rPr>
          <w:rFonts w:hint="eastAsia"/>
        </w:rPr>
        <w:t>〕</w:t>
      </w:r>
      <w:r>
        <w:rPr>
          <w:rFonts w:hint="eastAsia"/>
        </w:rPr>
        <w:t>109</w:t>
      </w:r>
      <w:r>
        <w:rPr>
          <w:rFonts w:hint="eastAsia"/>
        </w:rPr>
        <w:t>号</w:t>
      </w:r>
      <w:r>
        <w:rPr>
          <w:rFonts w:hint="eastAsia"/>
        </w:rPr>
        <w:t>[EB/OL].</w:t>
      </w:r>
      <w:r>
        <w:t xml:space="preserve"> (2023-07-26)[2026-07-27]. https://www.miit.gov.cn/zwgk/zcwj/wjfb/tz/art/2023/art_32a82e4b38564e0586d587919a2fa782.htm.</w:t>
      </w:r>
    </w:p>
    <w:p w14:paraId="6DA7D5B6" w14:textId="77777777" w:rsidR="009B55B3" w:rsidRDefault="00CC309B">
      <w:pPr>
        <w:pStyle w:val="a0"/>
      </w:pPr>
      <w:r>
        <w:t xml:space="preserve">[2] </w:t>
      </w:r>
      <w:r>
        <w:rPr>
          <w:rFonts w:hint="eastAsia"/>
        </w:rPr>
        <w:t>国家发展改革委，中央网信办，科技部，等</w:t>
      </w:r>
      <w:r>
        <w:rPr>
          <w:rFonts w:hint="eastAsia"/>
        </w:rPr>
        <w:t>.</w:t>
      </w:r>
      <w:r>
        <w:t xml:space="preserve"> </w:t>
      </w:r>
      <w:r>
        <w:rPr>
          <w:rFonts w:hint="eastAsia"/>
        </w:rPr>
        <w:t>关于印发《智能汽车创新发展战略》的通知：发改产业〔</w:t>
      </w:r>
      <w:r>
        <w:rPr>
          <w:rFonts w:hint="eastAsia"/>
        </w:rPr>
        <w:t>2020</w:t>
      </w:r>
      <w:r>
        <w:rPr>
          <w:rFonts w:hint="eastAsia"/>
        </w:rPr>
        <w:t>〕</w:t>
      </w:r>
      <w:r>
        <w:rPr>
          <w:rFonts w:hint="eastAsia"/>
        </w:rPr>
        <w:t>202</w:t>
      </w:r>
      <w:r>
        <w:rPr>
          <w:rFonts w:hint="eastAsia"/>
        </w:rPr>
        <w:t>号</w:t>
      </w:r>
      <w:r>
        <w:rPr>
          <w:rFonts w:hint="eastAsia"/>
        </w:rPr>
        <w:t>[EB/OL].</w:t>
      </w:r>
      <w:r>
        <w:t xml:space="preserve"> (2020-02-10)[2026-07-27]. https://www.ndrc.gov.cn/xxgk/zcfb/tz/202002/t20200224_1221077.html.</w:t>
      </w:r>
    </w:p>
    <w:p w14:paraId="5ABEA273" w14:textId="77777777" w:rsidR="009B55B3" w:rsidRDefault="00CC309B">
      <w:pPr>
        <w:pStyle w:val="a0"/>
      </w:pPr>
      <w:r>
        <w:t>[3] ASAM e.V. ASAM OpenDRIVE V1.7.0[EB/OL]. https://www.asam.net/standards/detail/opendrive/.</w:t>
      </w:r>
    </w:p>
    <w:p w14:paraId="5E6AEF04" w14:textId="77777777" w:rsidR="009B55B3" w:rsidRDefault="00CC309B">
      <w:pPr>
        <w:pStyle w:val="a0"/>
      </w:pPr>
      <w:r>
        <w:t>[4] ASAM e.V. ASAM OpenSCENARIO XML V1.2.0[EB/OL]. 2022-05-13. https://releases.asam.net/OpenSCENARIO/1.2.0/.</w:t>
      </w:r>
    </w:p>
    <w:p w14:paraId="4760531B" w14:textId="77777777" w:rsidR="009B55B3" w:rsidRDefault="00CC309B">
      <w:pPr>
        <w:pStyle w:val="a0"/>
      </w:pPr>
      <w:r>
        <w:t>[5] ISO 34504:2024 Road vehicles—Test scenarios for automated driving systems—Scenario categorization.</w:t>
      </w:r>
      <w:bookmarkEnd w:id="8"/>
      <w:bookmarkEnd w:id="75"/>
    </w:p>
    <w:sectPr w:rsidR="009B55B3" w:rsidSect="00BA3E6C">
      <w:footerReference w:type="even" r:id="rId15"/>
      <w:footerReference w:type="default" r:id="rId16"/>
      <w:footnotePr>
        <w:numRestart w:val="eachSect"/>
      </w:footnotePr>
      <w:pgSz w:w="11906" w:h="16838"/>
      <w:pgMar w:top="1440" w:right="1803" w:bottom="1440" w:left="1803" w:header="720" w:footer="720" w:gutter="0"/>
      <w:pgNumType w:start="1"/>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95CA099" w14:textId="77777777" w:rsidR="00B35B64" w:rsidRDefault="00B35B64">
      <w:pPr>
        <w:spacing w:line="240" w:lineRule="auto"/>
      </w:pPr>
      <w:r>
        <w:separator/>
      </w:r>
    </w:p>
  </w:endnote>
  <w:endnote w:type="continuationSeparator" w:id="0">
    <w:p w14:paraId="21AB357A" w14:textId="77777777" w:rsidR="00B35B64" w:rsidRDefault="00B35B6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altName w:val="Calibri"/>
    <w:charset w:val="00"/>
    <w:family w:val="swiss"/>
    <w:pitch w:val="variable"/>
    <w:sig w:usb0="20000287" w:usb1="00000003" w:usb2="00000000" w:usb3="00000000" w:csb0="0000019F" w:csb1="00000000"/>
  </w:font>
  <w:font w:name="等线">
    <w:altName w:val="DengXian"/>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Cambria Math">
    <w:panose1 w:val="02040503050406030204"/>
    <w:charset w:val="00"/>
    <w:family w:val="roman"/>
    <w:pitch w:val="variable"/>
    <w:sig w:usb0="E00006FF" w:usb1="420024FF" w:usb2="02000000" w:usb3="00000000" w:csb0="0000019F" w:csb1="00000000"/>
  </w:font>
  <w:font w:name="黑体">
    <w:altName w:val="SimHei"/>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Aptos Display">
    <w:altName w:val="Calibri"/>
    <w:charset w:val="00"/>
    <w:family w:val="swiss"/>
    <w:pitch w:val="variable"/>
    <w:sig w:usb0="20000287" w:usb1="00000003" w:usb2="00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Style w:val="af0"/>
      </w:rPr>
      <w:id w:val="-22784425"/>
      <w:docPartObj>
        <w:docPartGallery w:val="Page Numbers (Bottom of Page)"/>
        <w:docPartUnique/>
      </w:docPartObj>
    </w:sdtPr>
    <w:sdtEndPr>
      <w:rPr>
        <w:rStyle w:val="af0"/>
      </w:rPr>
    </w:sdtEndPr>
    <w:sdtContent>
      <w:p w14:paraId="1627C498" w14:textId="4FA5CCA4" w:rsidR="00A46127" w:rsidRDefault="00A46127" w:rsidP="005F5B17">
        <w:pPr>
          <w:pStyle w:val="ad"/>
          <w:rPr>
            <w:rStyle w:val="af0"/>
          </w:rPr>
        </w:pPr>
        <w:r>
          <w:rPr>
            <w:rStyle w:val="af0"/>
          </w:rPr>
          <w:fldChar w:fldCharType="begin"/>
        </w:r>
        <w:r>
          <w:rPr>
            <w:rStyle w:val="af0"/>
          </w:rPr>
          <w:instrText xml:space="preserve"> PAGE </w:instrText>
        </w:r>
        <w:r>
          <w:rPr>
            <w:rStyle w:val="af0"/>
          </w:rPr>
          <w:fldChar w:fldCharType="separate"/>
        </w:r>
        <w:r w:rsidR="00C05E96">
          <w:rPr>
            <w:rStyle w:val="af0"/>
            <w:noProof/>
          </w:rPr>
          <w:t>2</w:t>
        </w:r>
        <w:r>
          <w:rPr>
            <w:rStyle w:val="af0"/>
          </w:rPr>
          <w:fldChar w:fldCharType="end"/>
        </w:r>
      </w:p>
    </w:sdtContent>
  </w:sdt>
  <w:p w14:paraId="0EADC4A7" w14:textId="77777777" w:rsidR="00931A0F" w:rsidRDefault="00931A0F">
    <w:pPr>
      <w:pStyle w:val="ad"/>
      <w:ind w:firstLine="22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Style w:val="af0"/>
      </w:rPr>
      <w:id w:val="759099229"/>
      <w:docPartObj>
        <w:docPartGallery w:val="Page Numbers (Bottom of Page)"/>
        <w:docPartUnique/>
      </w:docPartObj>
    </w:sdtPr>
    <w:sdtEndPr>
      <w:rPr>
        <w:rStyle w:val="af0"/>
      </w:rPr>
    </w:sdtEndPr>
    <w:sdtContent>
      <w:p w14:paraId="1D915299" w14:textId="77777777" w:rsidR="00A46127" w:rsidRDefault="00A46127" w:rsidP="005F5B17">
        <w:pPr>
          <w:pStyle w:val="ad"/>
          <w:rPr>
            <w:rStyle w:val="af0"/>
          </w:rPr>
        </w:pPr>
        <w:r>
          <w:rPr>
            <w:rStyle w:val="af0"/>
          </w:rPr>
          <w:fldChar w:fldCharType="begin"/>
        </w:r>
        <w:r>
          <w:rPr>
            <w:rStyle w:val="af0"/>
          </w:rPr>
          <w:instrText xml:space="preserve"> PAGE </w:instrText>
        </w:r>
        <w:r>
          <w:rPr>
            <w:rStyle w:val="af0"/>
          </w:rPr>
          <w:fldChar w:fldCharType="separate"/>
        </w:r>
        <w:r w:rsidR="00C05E96">
          <w:rPr>
            <w:rStyle w:val="af0"/>
            <w:noProof/>
          </w:rPr>
          <w:t>3</w:t>
        </w:r>
        <w:r>
          <w:rPr>
            <w:rStyle w:val="af0"/>
          </w:rPr>
          <w:fldChar w:fldCharType="end"/>
        </w:r>
      </w:p>
    </w:sdtContent>
  </w:sdt>
  <w:p w14:paraId="6B1A807C" w14:textId="77777777" w:rsidR="00931A0F" w:rsidRDefault="00931A0F">
    <w:pPr>
      <w:pStyle w:val="ad"/>
      <w:ind w:firstLine="22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3EBAB1F" w14:textId="77777777" w:rsidR="00B35B64" w:rsidRDefault="00B35B64">
      <w:pPr>
        <w:spacing w:line="240" w:lineRule="auto"/>
      </w:pPr>
      <w:r>
        <w:separator/>
      </w:r>
    </w:p>
  </w:footnote>
  <w:footnote w:type="continuationSeparator" w:id="0">
    <w:p w14:paraId="14C9A0DB" w14:textId="77777777" w:rsidR="00B35B64" w:rsidRDefault="00B35B64">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49DDCF5" w14:textId="77777777" w:rsidR="0080303C" w:rsidRDefault="0080303C">
    <w:pPr>
      <w:pStyle w:val="a8"/>
    </w:pPr>
    <w:r>
      <w:rPr>
        <w:rFonts w:cs="Times New Roman"/>
        <w:b/>
        <w:bCs/>
        <w:color w:val="000000" w:themeColor="text1"/>
      </w:rPr>
      <w:t>T/CSFSIM</w:t>
    </w:r>
    <w:r>
      <w:rPr>
        <w:b/>
        <w:bCs/>
        <w:color w:val="000000" w:themeColor="text1"/>
      </w:rPr>
      <w:t xml:space="preserve"> </w:t>
    </w:r>
    <w:r>
      <w:rPr>
        <w:color w:val="000000" w:themeColor="text1"/>
      </w:rPr>
      <w:t>XXXX—20XX</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7343228" w14:textId="77777777" w:rsidR="00BA3E6C" w:rsidRDefault="00BA3E6C" w:rsidP="00BA3E6C">
    <w:pPr>
      <w:pStyle w:val="af2"/>
      <w:spacing w:after="0"/>
      <w:rPr>
        <w:color w:val="000000" w:themeColor="text1"/>
      </w:rPr>
    </w:pPr>
    <w:r>
      <w:rPr>
        <w:rFonts w:ascii="Times New Roman"/>
        <w:b/>
        <w:bCs/>
        <w:color w:val="000000" w:themeColor="text1"/>
      </w:rPr>
      <w:t>T/CSFSIM</w:t>
    </w:r>
    <w:r>
      <w:rPr>
        <w:rFonts w:hAnsi="黑体" w:cs="黑体" w:hint="eastAsia"/>
        <w:color w:val="000000" w:themeColor="text1"/>
      </w:rPr>
      <w:t xml:space="preserve"> XXXX—20XX</w:t>
    </w:r>
  </w:p>
  <w:p w14:paraId="5C7509A1" w14:textId="77777777" w:rsidR="00BA3E6C" w:rsidRDefault="00BA3E6C">
    <w:pPr>
      <w:pStyle w:val="af"/>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BDFE31D" w14:textId="77777777" w:rsidR="0080303C" w:rsidRDefault="0080303C">
    <w:pPr>
      <w:pStyle w:val="a8"/>
      <w:jc w:val="right"/>
    </w:pPr>
    <w:r>
      <w:rPr>
        <w:rFonts w:cs="Times New Roman"/>
        <w:b/>
        <w:bCs/>
        <w:color w:val="000000" w:themeColor="text1"/>
      </w:rPr>
      <w:t>T/CSFSIM</w:t>
    </w:r>
    <w:r>
      <w:rPr>
        <w:rFonts w:cs="Times New Roman"/>
        <w:color w:val="000000" w:themeColor="text1"/>
      </w:rPr>
      <w:t xml:space="preserve"> </w:t>
    </w:r>
    <w:r>
      <w:rPr>
        <w:color w:val="000000" w:themeColor="text1"/>
      </w:rPr>
      <w:t>XXXX—20XX</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59497EE"/>
    <w:lvl w:ilvl="0">
      <w:start w:val="1"/>
      <w:numFmt w:val="decimal"/>
      <w:lvlText w:val="%1."/>
      <w:lvlJc w:val="left"/>
      <w:pPr>
        <w:tabs>
          <w:tab w:val="num" w:pos="2040"/>
        </w:tabs>
        <w:ind w:leftChars="800" w:left="2040" w:hangingChars="200" w:hanging="360"/>
      </w:pPr>
    </w:lvl>
  </w:abstractNum>
  <w:abstractNum w:abstractNumId="1">
    <w:nsid w:val="FFFFFF7D"/>
    <w:multiLevelType w:val="singleLevel"/>
    <w:tmpl w:val="C108C708"/>
    <w:lvl w:ilvl="0">
      <w:start w:val="1"/>
      <w:numFmt w:val="decimal"/>
      <w:lvlText w:val="%1."/>
      <w:lvlJc w:val="left"/>
      <w:pPr>
        <w:tabs>
          <w:tab w:val="num" w:pos="1620"/>
        </w:tabs>
        <w:ind w:leftChars="600" w:left="1620" w:hangingChars="200" w:hanging="360"/>
      </w:pPr>
    </w:lvl>
  </w:abstractNum>
  <w:abstractNum w:abstractNumId="2">
    <w:nsid w:val="FFFFFF7E"/>
    <w:multiLevelType w:val="singleLevel"/>
    <w:tmpl w:val="244844B8"/>
    <w:lvl w:ilvl="0">
      <w:start w:val="1"/>
      <w:numFmt w:val="decimal"/>
      <w:lvlText w:val="%1."/>
      <w:lvlJc w:val="left"/>
      <w:pPr>
        <w:tabs>
          <w:tab w:val="num" w:pos="1200"/>
        </w:tabs>
        <w:ind w:leftChars="400" w:left="1200" w:hangingChars="200" w:hanging="360"/>
      </w:pPr>
    </w:lvl>
  </w:abstractNum>
  <w:abstractNum w:abstractNumId="3">
    <w:nsid w:val="FFFFFF7F"/>
    <w:multiLevelType w:val="singleLevel"/>
    <w:tmpl w:val="B45CE48A"/>
    <w:lvl w:ilvl="0">
      <w:start w:val="1"/>
      <w:numFmt w:val="decimal"/>
      <w:lvlText w:val="%1."/>
      <w:lvlJc w:val="left"/>
      <w:pPr>
        <w:tabs>
          <w:tab w:val="num" w:pos="780"/>
        </w:tabs>
        <w:ind w:leftChars="200" w:left="780" w:hangingChars="200" w:hanging="360"/>
      </w:pPr>
    </w:lvl>
  </w:abstractNum>
  <w:abstractNum w:abstractNumId="4">
    <w:nsid w:val="FFFFFF88"/>
    <w:multiLevelType w:val="singleLevel"/>
    <w:tmpl w:val="04D264A2"/>
    <w:lvl w:ilvl="0">
      <w:start w:val="1"/>
      <w:numFmt w:val="decimal"/>
      <w:lvlText w:val="%1."/>
      <w:lvlJc w:val="left"/>
      <w:pPr>
        <w:tabs>
          <w:tab w:val="num" w:pos="360"/>
        </w:tabs>
        <w:ind w:left="360" w:hangingChars="200" w:hanging="360"/>
      </w:pPr>
    </w:lvl>
  </w:abstractNum>
  <w:abstractNum w:abstractNumId="5">
    <w:nsid w:val="FFFFFF89"/>
    <w:multiLevelType w:val="singleLevel"/>
    <w:tmpl w:val="8008117C"/>
    <w:lvl w:ilvl="0">
      <w:start w:val="1"/>
      <w:numFmt w:val="bullet"/>
      <w:lvlText w:val=""/>
      <w:lvlJc w:val="left"/>
      <w:pPr>
        <w:tabs>
          <w:tab w:val="num" w:pos="360"/>
        </w:tabs>
        <w:ind w:left="360" w:hangingChars="200" w:hanging="360"/>
      </w:pPr>
      <w:rPr>
        <w:rFonts w:ascii="Wingdings" w:hAnsi="Wingdings" w:hint="default"/>
      </w:rPr>
    </w:lvl>
  </w:abstractNum>
  <w:abstractNum w:abstractNumId="6">
    <w:nsid w:val="0000A990"/>
    <w:multiLevelType w:val="multilevel"/>
    <w:tmpl w:val="57BADA7A"/>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7">
    <w:nsid w:val="170CD2DE"/>
    <w:multiLevelType w:val="multilevel"/>
    <w:tmpl w:val="9928FE16"/>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bullet"/>
      <w:lvlText w:val=" "/>
      <w:lvlJc w:val="left"/>
      <w:pPr>
        <w:tabs>
          <w:tab w:val="num" w:pos="5040"/>
        </w:tabs>
        <w:ind w:left="5520" w:hanging="480"/>
      </w:pPr>
    </w:lvl>
    <w:lvl w:ilvl="8">
      <w:numFmt w:val="bullet"/>
      <w:lvlText w:val=" "/>
      <w:lvlJc w:val="left"/>
      <w:pPr>
        <w:tabs>
          <w:tab w:val="num" w:pos="5760"/>
        </w:tabs>
        <w:ind w:left="6240" w:hanging="480"/>
      </w:pPr>
    </w:lvl>
  </w:abstractNum>
  <w:num w:numId="1">
    <w:abstractNumId w:val="7"/>
  </w:num>
  <w:num w:numId="2">
    <w:abstractNumId w:val="4"/>
  </w:num>
  <w:num w:numId="3">
    <w:abstractNumId w:val="4"/>
  </w:num>
  <w:num w:numId="4">
    <w:abstractNumId w:val="4"/>
  </w:num>
  <w:num w:numId="5">
    <w:abstractNumId w:val="4"/>
  </w:num>
  <w:num w:numId="6">
    <w:abstractNumId w:val="4"/>
  </w:num>
  <w:num w:numId="7">
    <w:abstractNumId w:val="3"/>
  </w:num>
  <w:num w:numId="8">
    <w:abstractNumId w:val="3"/>
  </w:num>
  <w:num w:numId="9">
    <w:abstractNumId w:val="3"/>
  </w:num>
  <w:num w:numId="10">
    <w:abstractNumId w:val="3"/>
  </w:num>
  <w:num w:numId="11">
    <w:abstractNumId w:val="3"/>
  </w:num>
  <w:num w:numId="12">
    <w:abstractNumId w:val="1"/>
  </w:num>
  <w:num w:numId="13">
    <w:abstractNumId w:val="1"/>
  </w:num>
  <w:num w:numId="14">
    <w:abstractNumId w:val="1"/>
  </w:num>
  <w:num w:numId="15">
    <w:abstractNumId w:val="1"/>
  </w:num>
  <w:num w:numId="16">
    <w:abstractNumId w:val="2"/>
  </w:num>
  <w:num w:numId="17">
    <w:abstractNumId w:val="2"/>
  </w:num>
  <w:num w:numId="18">
    <w:abstractNumId w:val="2"/>
  </w:num>
  <w:num w:numId="19">
    <w:abstractNumId w:val="2"/>
  </w:num>
  <w:num w:numId="20">
    <w:abstractNumId w:val="2"/>
  </w:num>
  <w:num w:numId="21">
    <w:abstractNumId w:val="1"/>
  </w:num>
  <w:num w:numId="22">
    <w:abstractNumId w:val="1"/>
  </w:num>
  <w:num w:numId="23">
    <w:abstractNumId w:val="1"/>
  </w:num>
  <w:num w:numId="24">
    <w:abstractNumId w:val="1"/>
  </w:num>
  <w:num w:numId="25">
    <w:abstractNumId w:val="1"/>
  </w:num>
  <w:num w:numId="26">
    <w:abstractNumId w:val="0"/>
  </w:num>
  <w:num w:numId="27">
    <w:abstractNumId w:val="0"/>
  </w:num>
  <w:num w:numId="28">
    <w:abstractNumId w:val="0"/>
  </w:num>
  <w:num w:numId="29">
    <w:abstractNumId w:val="0"/>
  </w:num>
  <w:num w:numId="30">
    <w:abstractNumId w:val="0"/>
  </w:num>
  <w:num w:numId="31">
    <w:abstractNumId w:val="5"/>
  </w:num>
  <w:num w:numId="3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bordersDoNotSurroundFooter/>
  <w:proofState w:spelling="clean" w:grammar="clean"/>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720"/>
  <w:evenAndOddHeaders/>
  <w:drawingGridHorizontalSpacing w:val="360"/>
  <w:drawingGridVerticalSpacing w:val="360"/>
  <w:displayHorizontalDrawingGridEvery w:val="0"/>
  <w:displayVerticalDrawingGridEvery w:val="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D3804"/>
    <w:rsid w:val="000D3804"/>
    <w:rsid w:val="001004CB"/>
    <w:rsid w:val="00225893"/>
    <w:rsid w:val="002C287B"/>
    <w:rsid w:val="003D24DD"/>
    <w:rsid w:val="003D4E8E"/>
    <w:rsid w:val="003E7597"/>
    <w:rsid w:val="00507224"/>
    <w:rsid w:val="005A58BB"/>
    <w:rsid w:val="005B5276"/>
    <w:rsid w:val="00632623"/>
    <w:rsid w:val="00686606"/>
    <w:rsid w:val="006B3784"/>
    <w:rsid w:val="006C187E"/>
    <w:rsid w:val="006F194A"/>
    <w:rsid w:val="007C184E"/>
    <w:rsid w:val="007E0DB5"/>
    <w:rsid w:val="0080303C"/>
    <w:rsid w:val="008314EC"/>
    <w:rsid w:val="00850246"/>
    <w:rsid w:val="008E4034"/>
    <w:rsid w:val="008E7A62"/>
    <w:rsid w:val="00931A0F"/>
    <w:rsid w:val="00945431"/>
    <w:rsid w:val="00995DC6"/>
    <w:rsid w:val="009B55B3"/>
    <w:rsid w:val="009F20CF"/>
    <w:rsid w:val="00A46127"/>
    <w:rsid w:val="00A70586"/>
    <w:rsid w:val="00AF0735"/>
    <w:rsid w:val="00B148D6"/>
    <w:rsid w:val="00B35B64"/>
    <w:rsid w:val="00B6118A"/>
    <w:rsid w:val="00BA3E6C"/>
    <w:rsid w:val="00C05E96"/>
    <w:rsid w:val="00C83432"/>
    <w:rsid w:val="00CA4FD5"/>
    <w:rsid w:val="00CC309B"/>
    <w:rsid w:val="00D41549"/>
    <w:rsid w:val="00DD0405"/>
    <w:rsid w:val="00E03B7F"/>
    <w:rsid w:val="00E25422"/>
    <w:rsid w:val="00E756F9"/>
    <w:rsid w:val="00ED47C1"/>
    <w:rsid w:val="00F54F8F"/>
    <w:rsid w:val="00FA47B8"/>
    <w:rsid w:val="00FB024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0C3A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pPr>
        <w:spacing w:after="200"/>
      </w:pPr>
    </w:pPrDefault>
  </w:docDefaults>
  <w:latentStyles w:defLockedState="0" w:defUIPriority="0" w:defSemiHidden="0" w:defUnhideWhenUsed="0" w:defQFormat="0" w:count="267">
    <w:lsdException w:name="header" w:qFormat="1"/>
    <w:lsdException w:name="footer"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atentStyles>
  <w:style w:type="paragraph" w:default="1" w:styleId="a">
    <w:name w:val="Normal"/>
    <w:qFormat/>
    <w:rsid w:val="007C184E"/>
    <w:pPr>
      <w:widowControl w:val="0"/>
      <w:spacing w:after="0" w:line="360" w:lineRule="auto"/>
    </w:pPr>
    <w:rPr>
      <w:rFonts w:ascii="Times New Roman" w:eastAsia="宋体" w:hAnsi="Times New Roman" w:cs="Cambria Math"/>
      <w:kern w:val="2"/>
      <w:lang w:eastAsia="zh-CN"/>
    </w:rPr>
  </w:style>
  <w:style w:type="paragraph" w:styleId="1">
    <w:name w:val="heading 1"/>
    <w:basedOn w:val="a"/>
    <w:next w:val="a"/>
    <w:link w:val="1Char"/>
    <w:qFormat/>
    <w:rsid w:val="00FB0243"/>
    <w:pPr>
      <w:keepNext/>
      <w:keepLines/>
      <w:spacing w:before="260" w:after="260"/>
      <w:outlineLvl w:val="0"/>
    </w:pPr>
    <w:rPr>
      <w:rFonts w:eastAsia="黑体"/>
      <w:b/>
      <w:bCs/>
      <w:color w:val="000000"/>
      <w:kern w:val="44"/>
      <w:sz w:val="44"/>
      <w:szCs w:val="44"/>
    </w:rPr>
  </w:style>
  <w:style w:type="paragraph" w:styleId="2">
    <w:name w:val="heading 2"/>
    <w:basedOn w:val="a"/>
    <w:next w:val="a"/>
    <w:link w:val="2Char"/>
    <w:unhideWhenUsed/>
    <w:qFormat/>
    <w:rsid w:val="00FB0243"/>
    <w:pPr>
      <w:keepNext/>
      <w:keepLines/>
      <w:spacing w:before="260" w:after="260"/>
      <w:outlineLvl w:val="1"/>
    </w:pPr>
    <w:rPr>
      <w:rFonts w:eastAsia="黑体"/>
      <w:b/>
      <w:bCs/>
      <w:color w:val="000000"/>
      <w:sz w:val="32"/>
      <w:szCs w:val="32"/>
    </w:rPr>
  </w:style>
  <w:style w:type="paragraph" w:styleId="3">
    <w:name w:val="heading 3"/>
    <w:basedOn w:val="a"/>
    <w:next w:val="a"/>
    <w:link w:val="3Char"/>
    <w:unhideWhenUsed/>
    <w:qFormat/>
    <w:rsid w:val="00FB0243"/>
    <w:pPr>
      <w:keepNext/>
      <w:keepLines/>
      <w:spacing w:before="260" w:after="260"/>
      <w:outlineLvl w:val="2"/>
    </w:pPr>
    <w:rPr>
      <w:rFonts w:eastAsia="黑体"/>
      <w:b/>
      <w:bCs/>
      <w:color w:val="000000"/>
      <w:sz w:val="28"/>
      <w:szCs w:val="28"/>
    </w:rPr>
  </w:style>
  <w:style w:type="paragraph" w:styleId="4">
    <w:name w:val="heading 4"/>
    <w:basedOn w:val="a"/>
    <w:next w:val="a"/>
    <w:link w:val="4Char"/>
    <w:unhideWhenUsed/>
    <w:qFormat/>
    <w:rsid w:val="00FB0243"/>
    <w:pPr>
      <w:keepNext/>
      <w:keepLines/>
      <w:spacing w:before="260" w:after="260" w:line="413" w:lineRule="auto"/>
      <w:outlineLvl w:val="3"/>
    </w:pPr>
    <w:rPr>
      <w:rFonts w:ascii="Arial" w:eastAsia="黑体" w:hAnsi="Arial"/>
      <w:b/>
      <w:sz w:val="32"/>
    </w:rPr>
  </w:style>
  <w:style w:type="paragraph" w:styleId="5">
    <w:name w:val="heading 5"/>
    <w:basedOn w:val="a"/>
    <w:next w:val="a0"/>
    <w:link w:val="5Char"/>
    <w:uiPriority w:val="9"/>
    <w:semiHidden/>
    <w:unhideWhenUsed/>
    <w:qFormat/>
    <w:rsid w:val="00A10FD9"/>
    <w:pPr>
      <w:keepNext/>
      <w:keepLines/>
      <w:spacing w:before="80" w:after="40"/>
      <w:outlineLvl w:val="4"/>
    </w:pPr>
    <w:rPr>
      <w:rFonts w:eastAsiaTheme="majorEastAsia" w:cstheme="majorBidi"/>
      <w:color w:val="0F4761" w:themeColor="accent1" w:themeShade="BF"/>
    </w:rPr>
  </w:style>
  <w:style w:type="paragraph" w:styleId="6">
    <w:name w:val="heading 6"/>
    <w:basedOn w:val="a"/>
    <w:next w:val="a0"/>
    <w:link w:val="6Char"/>
    <w:uiPriority w:val="9"/>
    <w:semiHidden/>
    <w:unhideWhenUsed/>
    <w:qFormat/>
    <w:rsid w:val="00A10FD9"/>
    <w:pPr>
      <w:keepNext/>
      <w:keepLines/>
      <w:spacing w:before="40"/>
      <w:outlineLvl w:val="5"/>
    </w:pPr>
    <w:rPr>
      <w:rFonts w:eastAsiaTheme="majorEastAsia" w:cstheme="majorBidi"/>
      <w:i/>
      <w:iCs/>
      <w:color w:val="595959" w:themeColor="text1" w:themeTint="A6"/>
    </w:rPr>
  </w:style>
  <w:style w:type="paragraph" w:styleId="7">
    <w:name w:val="heading 7"/>
    <w:basedOn w:val="a"/>
    <w:next w:val="a0"/>
    <w:link w:val="7Char"/>
    <w:uiPriority w:val="9"/>
    <w:semiHidden/>
    <w:unhideWhenUsed/>
    <w:qFormat/>
    <w:rsid w:val="00A10FD9"/>
    <w:pPr>
      <w:keepNext/>
      <w:keepLines/>
      <w:spacing w:before="40"/>
      <w:outlineLvl w:val="6"/>
    </w:pPr>
    <w:rPr>
      <w:rFonts w:eastAsiaTheme="majorEastAsia" w:cstheme="majorBidi"/>
      <w:color w:val="595959" w:themeColor="text1" w:themeTint="A6"/>
    </w:rPr>
  </w:style>
  <w:style w:type="paragraph" w:styleId="8">
    <w:name w:val="heading 8"/>
    <w:basedOn w:val="a"/>
    <w:next w:val="a0"/>
    <w:link w:val="8Char"/>
    <w:uiPriority w:val="9"/>
    <w:semiHidden/>
    <w:unhideWhenUsed/>
    <w:qFormat/>
    <w:rsid w:val="00A10FD9"/>
    <w:pPr>
      <w:keepNext/>
      <w:keepLines/>
      <w:outlineLvl w:val="7"/>
    </w:pPr>
    <w:rPr>
      <w:rFonts w:eastAsiaTheme="majorEastAsia" w:cstheme="majorBidi"/>
      <w:i/>
      <w:iCs/>
      <w:color w:val="272727" w:themeColor="text1" w:themeTint="D8"/>
    </w:rPr>
  </w:style>
  <w:style w:type="paragraph" w:styleId="9">
    <w:name w:val="heading 9"/>
    <w:basedOn w:val="a"/>
    <w:next w:val="a0"/>
    <w:link w:val="9Char"/>
    <w:uiPriority w:val="9"/>
    <w:semiHidden/>
    <w:unhideWhenUsed/>
    <w:qFormat/>
    <w:rsid w:val="00A10FD9"/>
    <w:pPr>
      <w:keepNext/>
      <w:keepLines/>
      <w:outlineLvl w:val="8"/>
    </w:pPr>
    <w:rPr>
      <w:rFonts w:eastAsiaTheme="majorEastAsia" w:cstheme="majorBidi"/>
      <w:color w:val="272727" w:themeColor="text1" w:themeTint="D8"/>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Body Text"/>
    <w:basedOn w:val="a"/>
    <w:qFormat/>
    <w:rsid w:val="00AF0735"/>
  </w:style>
  <w:style w:type="paragraph" w:customStyle="1" w:styleId="FirstParagraph">
    <w:name w:val="First Paragraph"/>
    <w:basedOn w:val="a0"/>
    <w:next w:val="a0"/>
    <w:qFormat/>
    <w:rsid w:val="00DD0405"/>
  </w:style>
  <w:style w:type="paragraph" w:customStyle="1" w:styleId="Compact">
    <w:name w:val="Compact"/>
    <w:basedOn w:val="a0"/>
    <w:qFormat/>
    <w:rsid w:val="007E0DB5"/>
  </w:style>
  <w:style w:type="paragraph" w:styleId="a4">
    <w:name w:val="Title"/>
    <w:basedOn w:val="a"/>
    <w:next w:val="a0"/>
    <w:link w:val="Char"/>
    <w:uiPriority w:val="10"/>
    <w:qFormat/>
    <w:rsid w:val="00A10FD9"/>
    <w:pPr>
      <w:spacing w:after="80"/>
      <w:contextualSpacing/>
      <w:jc w:val="center"/>
    </w:pPr>
    <w:rPr>
      <w:rFonts w:asciiTheme="majorHAnsi" w:eastAsiaTheme="majorEastAsia" w:hAnsiTheme="majorHAnsi" w:cstheme="majorBidi"/>
      <w:sz w:val="56"/>
      <w:szCs w:val="56"/>
    </w:rPr>
  </w:style>
  <w:style w:type="character" w:customStyle="1" w:styleId="Char">
    <w:name w:val="标题 Char"/>
    <w:basedOn w:val="a1"/>
    <w:link w:val="a4"/>
    <w:uiPriority w:val="10"/>
    <w:rsid w:val="00A10FD9"/>
    <w:rPr>
      <w:rFonts w:asciiTheme="majorHAnsi" w:eastAsiaTheme="majorEastAsia" w:hAnsiTheme="majorHAnsi" w:cstheme="majorBidi"/>
      <w:sz w:val="56"/>
      <w:szCs w:val="56"/>
    </w:rPr>
  </w:style>
  <w:style w:type="paragraph" w:styleId="a5">
    <w:name w:val="Subtitle"/>
    <w:basedOn w:val="a4"/>
    <w:next w:val="a0"/>
    <w:link w:val="Char0"/>
    <w:uiPriority w:val="11"/>
    <w:qFormat/>
    <w:rsid w:val="00A10FD9"/>
    <w:pPr>
      <w:numPr>
        <w:ilvl w:val="1"/>
      </w:numPr>
    </w:pPr>
    <w:rPr>
      <w:spacing w:val="15"/>
      <w:sz w:val="28"/>
      <w:szCs w:val="28"/>
    </w:rPr>
  </w:style>
  <w:style w:type="character" w:customStyle="1" w:styleId="Char0">
    <w:name w:val="副标题 Char"/>
    <w:basedOn w:val="a1"/>
    <w:link w:val="a5"/>
    <w:uiPriority w:val="11"/>
    <w:rsid w:val="00A10FD9"/>
    <w:rPr>
      <w:rFonts w:eastAsiaTheme="majorEastAsia" w:cstheme="majorBidi"/>
      <w:color w:val="595959" w:themeColor="text1" w:themeTint="A6"/>
      <w:spacing w:val="15"/>
      <w:sz w:val="28"/>
      <w:szCs w:val="28"/>
    </w:rPr>
  </w:style>
  <w:style w:type="paragraph" w:customStyle="1" w:styleId="Author">
    <w:name w:val="Author"/>
    <w:basedOn w:val="a4"/>
    <w:next w:val="a0"/>
    <w:qFormat/>
    <w:pPr>
      <w:keepNext/>
      <w:keepLines/>
    </w:pPr>
    <w:rPr>
      <w:sz w:val="24"/>
      <w:szCs w:val="24"/>
    </w:rPr>
  </w:style>
  <w:style w:type="paragraph" w:styleId="a6">
    <w:name w:val="Date"/>
    <w:basedOn w:val="a4"/>
    <w:next w:val="a0"/>
    <w:qFormat/>
    <w:pPr>
      <w:keepNext/>
      <w:keepLines/>
    </w:pPr>
    <w:rPr>
      <w:sz w:val="24"/>
      <w:szCs w:val="24"/>
    </w:rPr>
  </w:style>
  <w:style w:type="paragraph" w:customStyle="1" w:styleId="AbstractTitle">
    <w:name w:val="Abstract Title"/>
    <w:basedOn w:val="a"/>
    <w:next w:val="Abstract"/>
    <w:qFormat/>
    <w:pPr>
      <w:keepNext/>
      <w:keepLines/>
      <w:spacing w:before="300"/>
      <w:jc w:val="center"/>
    </w:pPr>
    <w:rPr>
      <w:b/>
      <w:sz w:val="20"/>
      <w:szCs w:val="20"/>
    </w:rPr>
  </w:style>
  <w:style w:type="paragraph" w:customStyle="1" w:styleId="Abstract">
    <w:name w:val="Abstract"/>
    <w:basedOn w:val="a"/>
    <w:next w:val="a0"/>
    <w:qFormat/>
    <w:pPr>
      <w:keepNext/>
      <w:keepLines/>
      <w:spacing w:before="100" w:after="300"/>
    </w:pPr>
    <w:rPr>
      <w:sz w:val="20"/>
      <w:szCs w:val="20"/>
    </w:rPr>
  </w:style>
  <w:style w:type="paragraph" w:styleId="a7">
    <w:name w:val="Bibliography"/>
    <w:basedOn w:val="a"/>
    <w:qFormat/>
  </w:style>
  <w:style w:type="character" w:customStyle="1" w:styleId="1Char">
    <w:name w:val="标题 1 Char"/>
    <w:basedOn w:val="a1"/>
    <w:link w:val="1"/>
    <w:rsid w:val="00A10FD9"/>
    <w:rPr>
      <w:rFonts w:ascii="Times New Roman" w:eastAsia="黑体" w:hAnsi="Times New Roman" w:cs="Cambria Math"/>
      <w:b/>
      <w:kern w:val="44"/>
      <w:sz w:val="32"/>
      <w:szCs w:val="22"/>
      <w:lang w:eastAsia="zh-CN"/>
    </w:rPr>
  </w:style>
  <w:style w:type="character" w:customStyle="1" w:styleId="2Char">
    <w:name w:val="标题 2 Char"/>
    <w:basedOn w:val="a1"/>
    <w:link w:val="2"/>
    <w:rsid w:val="00A10FD9"/>
    <w:rPr>
      <w:rFonts w:ascii="Arial" w:eastAsia="黑体" w:hAnsi="Arial" w:cs="Cambria Math"/>
      <w:b/>
      <w:kern w:val="2"/>
      <w:sz w:val="32"/>
      <w:szCs w:val="22"/>
      <w:lang w:eastAsia="zh-CN"/>
    </w:rPr>
  </w:style>
  <w:style w:type="character" w:customStyle="1" w:styleId="3Char">
    <w:name w:val="标题 3 Char"/>
    <w:basedOn w:val="a1"/>
    <w:link w:val="3"/>
    <w:rsid w:val="00A10FD9"/>
    <w:rPr>
      <w:rFonts w:ascii="Times New Roman" w:eastAsia="黑体" w:hAnsi="Times New Roman" w:cs="Cambria Math"/>
      <w:b/>
      <w:kern w:val="2"/>
      <w:sz w:val="32"/>
      <w:szCs w:val="22"/>
      <w:lang w:eastAsia="zh-CN"/>
    </w:rPr>
  </w:style>
  <w:style w:type="character" w:customStyle="1" w:styleId="4Char">
    <w:name w:val="标题 4 Char"/>
    <w:basedOn w:val="a1"/>
    <w:link w:val="4"/>
    <w:rsid w:val="00A10FD9"/>
    <w:rPr>
      <w:rFonts w:ascii="Arial" w:eastAsia="黑体" w:hAnsi="Arial" w:cs="Cambria Math"/>
      <w:b/>
      <w:kern w:val="2"/>
      <w:sz w:val="32"/>
      <w:szCs w:val="22"/>
      <w:lang w:eastAsia="zh-CN"/>
    </w:rPr>
  </w:style>
  <w:style w:type="character" w:customStyle="1" w:styleId="5Char">
    <w:name w:val="标题 5 Char"/>
    <w:basedOn w:val="a1"/>
    <w:link w:val="5"/>
    <w:uiPriority w:val="9"/>
    <w:semiHidden/>
    <w:rsid w:val="00A10FD9"/>
    <w:rPr>
      <w:rFonts w:eastAsiaTheme="majorEastAsia" w:cstheme="majorBidi"/>
      <w:color w:val="0F4761" w:themeColor="accent1" w:themeShade="BF"/>
    </w:rPr>
  </w:style>
  <w:style w:type="character" w:customStyle="1" w:styleId="6Char">
    <w:name w:val="标题 6 Char"/>
    <w:basedOn w:val="a1"/>
    <w:link w:val="6"/>
    <w:uiPriority w:val="9"/>
    <w:semiHidden/>
    <w:rsid w:val="00A10FD9"/>
    <w:rPr>
      <w:rFonts w:eastAsiaTheme="majorEastAsia" w:cstheme="majorBidi"/>
      <w:i/>
      <w:iCs/>
      <w:color w:val="595959" w:themeColor="text1" w:themeTint="A6"/>
    </w:rPr>
  </w:style>
  <w:style w:type="character" w:customStyle="1" w:styleId="7Char">
    <w:name w:val="标题 7 Char"/>
    <w:basedOn w:val="a1"/>
    <w:link w:val="7"/>
    <w:uiPriority w:val="9"/>
    <w:semiHidden/>
    <w:rsid w:val="00A10FD9"/>
    <w:rPr>
      <w:rFonts w:eastAsiaTheme="majorEastAsia" w:cstheme="majorBidi"/>
      <w:color w:val="595959" w:themeColor="text1" w:themeTint="A6"/>
    </w:rPr>
  </w:style>
  <w:style w:type="character" w:customStyle="1" w:styleId="8Char">
    <w:name w:val="标题 8 Char"/>
    <w:basedOn w:val="a1"/>
    <w:link w:val="8"/>
    <w:uiPriority w:val="9"/>
    <w:semiHidden/>
    <w:rsid w:val="00A10FD9"/>
    <w:rPr>
      <w:rFonts w:eastAsiaTheme="majorEastAsia" w:cstheme="majorBidi"/>
      <w:i/>
      <w:iCs/>
      <w:color w:val="272727" w:themeColor="text1" w:themeTint="D8"/>
    </w:rPr>
  </w:style>
  <w:style w:type="character" w:customStyle="1" w:styleId="9Char">
    <w:name w:val="标题 9 Char"/>
    <w:basedOn w:val="a1"/>
    <w:link w:val="9"/>
    <w:uiPriority w:val="9"/>
    <w:semiHidden/>
    <w:rsid w:val="00A10FD9"/>
    <w:rPr>
      <w:rFonts w:eastAsiaTheme="majorEastAsia" w:cstheme="majorBidi"/>
      <w:color w:val="272727" w:themeColor="text1" w:themeTint="D8"/>
    </w:rPr>
  </w:style>
  <w:style w:type="paragraph" w:styleId="a8">
    <w:name w:val="Block Text"/>
    <w:basedOn w:val="a0"/>
    <w:next w:val="a0"/>
    <w:uiPriority w:val="9"/>
    <w:unhideWhenUsed/>
    <w:qFormat/>
    <w:rsid w:val="003E7597"/>
    <w:pPr>
      <w:ind w:left="482" w:right="482"/>
    </w:pPr>
  </w:style>
  <w:style w:type="paragraph" w:styleId="a9">
    <w:name w:val="footnote text"/>
    <w:basedOn w:val="a"/>
    <w:uiPriority w:val="9"/>
    <w:unhideWhenUsed/>
    <w:qFormat/>
  </w:style>
  <w:style w:type="paragraph" w:customStyle="1" w:styleId="FootnoteBlockText">
    <w:name w:val="Footnote Block Text"/>
    <w:basedOn w:val="a9"/>
    <w:next w:val="a9"/>
    <w:uiPriority w:val="9"/>
    <w:unhideWhenUsed/>
    <w:qFormat/>
    <w:pPr>
      <w:spacing w:before="100" w:after="100"/>
      <w:ind w:left="480" w:right="480"/>
    </w:pPr>
  </w:style>
  <w:style w:type="table" w:customStyle="1" w:styleId="Table">
    <w:name w:val="Table"/>
    <w:semiHidden/>
    <w:unhideWhenUsed/>
    <w:qFormat/>
    <w:rsid w:val="00FB0243"/>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160" w:type="dxa"/>
        <w:left w:w="160" w:type="dxa"/>
        <w:bottom w:w="160" w:type="dxa"/>
        <w:right w:w="160" w:type="dxa"/>
      </w:tblCellMar>
    </w:tblPr>
    <w:tblStylePr w:type="firstRow">
      <w:tblPr>
        <w:jc w:val="left"/>
      </w:tblPr>
      <w:trPr>
        <w:jc w:val="left"/>
      </w:trPr>
      <w:tcPr>
        <w:vAlign w:val="bottom"/>
      </w:tcPr>
    </w:tblStylePr>
  </w:style>
  <w:style w:type="paragraph" w:customStyle="1" w:styleId="DefinitionTerm">
    <w:name w:val="Definition Term"/>
    <w:basedOn w:val="a"/>
    <w:next w:val="Definition"/>
    <w:pPr>
      <w:keepNext/>
      <w:keepLines/>
    </w:pPr>
    <w:rPr>
      <w:b/>
    </w:rPr>
  </w:style>
  <w:style w:type="paragraph" w:customStyle="1" w:styleId="Definition">
    <w:name w:val="Definition"/>
    <w:basedOn w:val="a"/>
  </w:style>
  <w:style w:type="paragraph" w:styleId="aa">
    <w:name w:val="caption"/>
    <w:basedOn w:val="a"/>
    <w:link w:val="Char1"/>
    <w:pPr>
      <w:spacing w:after="120"/>
    </w:pPr>
    <w:rPr>
      <w:i/>
    </w:rPr>
  </w:style>
  <w:style w:type="paragraph" w:customStyle="1" w:styleId="TableCaption">
    <w:name w:val="Table Caption"/>
    <w:basedOn w:val="aa"/>
    <w:pPr>
      <w:keepNext/>
    </w:pPr>
  </w:style>
  <w:style w:type="paragraph" w:customStyle="1" w:styleId="ImageCaption">
    <w:name w:val="Image Caption"/>
    <w:basedOn w:val="aa"/>
  </w:style>
  <w:style w:type="paragraph" w:customStyle="1" w:styleId="Figure">
    <w:name w:val="Figure"/>
    <w:basedOn w:val="a"/>
  </w:style>
  <w:style w:type="paragraph" w:customStyle="1" w:styleId="CaptionedFigure">
    <w:name w:val="Captioned Figure"/>
    <w:basedOn w:val="Figure"/>
    <w:pPr>
      <w:keepNext/>
    </w:pPr>
  </w:style>
  <w:style w:type="character" w:customStyle="1" w:styleId="Char1">
    <w:name w:val="题注 Char"/>
    <w:basedOn w:val="a1"/>
    <w:link w:val="aa"/>
  </w:style>
  <w:style w:type="character" w:customStyle="1" w:styleId="VerbatimChar">
    <w:name w:val="Verbatim Char"/>
    <w:basedOn w:val="Char1"/>
    <w:link w:val="SourceCode"/>
    <w:rPr>
      <w:rFonts w:ascii="Consolas" w:hAnsi="Consolas"/>
      <w:sz w:val="22"/>
    </w:rPr>
  </w:style>
  <w:style w:type="character" w:customStyle="1" w:styleId="SectionNumber">
    <w:name w:val="Section Number"/>
    <w:basedOn w:val="Char1"/>
  </w:style>
  <w:style w:type="character" w:styleId="ab">
    <w:name w:val="footnote reference"/>
    <w:basedOn w:val="Char1"/>
    <w:rPr>
      <w:vertAlign w:val="superscript"/>
    </w:rPr>
  </w:style>
  <w:style w:type="character" w:styleId="ac">
    <w:name w:val="Hyperlink"/>
    <w:basedOn w:val="Char1"/>
    <w:rPr>
      <w:color w:val="156082" w:themeColor="accent1"/>
    </w:rPr>
  </w:style>
  <w:style w:type="paragraph" w:styleId="TOC">
    <w:name w:val="TOC Heading"/>
    <w:basedOn w:val="1"/>
    <w:next w:val="a0"/>
    <w:uiPriority w:val="39"/>
    <w:unhideWhenUsed/>
    <w:qFormat/>
    <w:pPr>
      <w:spacing w:before="240" w:line="259" w:lineRule="auto"/>
      <w:outlineLvl w:val="9"/>
    </w:pPr>
    <w:rPr>
      <w:rFonts w:asciiTheme="majorHAnsi" w:eastAsiaTheme="majorEastAsia" w:hAnsiTheme="majorHAnsi" w:cstheme="majorBidi"/>
      <w:color w:val="0F4761" w:themeColor="accent1" w:themeShade="BF"/>
    </w:rPr>
  </w:style>
  <w:style w:type="paragraph" w:styleId="ad">
    <w:name w:val="footer"/>
    <w:basedOn w:val="a"/>
    <w:link w:val="Char2"/>
    <w:qFormat/>
    <w:rsid w:val="00FB0243"/>
    <w:pPr>
      <w:tabs>
        <w:tab w:val="center" w:pos="4153"/>
        <w:tab w:val="right" w:pos="8306"/>
      </w:tabs>
      <w:snapToGrid w:val="0"/>
      <w:jc w:val="center"/>
    </w:pPr>
    <w:rPr>
      <w:sz w:val="11"/>
      <w:szCs w:val="18"/>
    </w:rPr>
  </w:style>
  <w:style w:type="character" w:customStyle="1" w:styleId="Char2">
    <w:name w:val="页脚 Char"/>
    <w:link w:val="ad"/>
    <w:qFormat/>
    <w:rsid w:val="00FB0243"/>
    <w:rPr>
      <w:rFonts w:ascii="Times New Roman" w:eastAsia="宋体" w:hAnsi="Times New Roman" w:cs="Cambria Math"/>
      <w:kern w:val="2"/>
      <w:sz w:val="11"/>
      <w:szCs w:val="18"/>
      <w:lang w:eastAsia="zh-CN"/>
    </w:rPr>
  </w:style>
  <w:style w:type="paragraph" w:styleId="20">
    <w:name w:val="Body Text 2"/>
    <w:basedOn w:val="a"/>
    <w:link w:val="2Char0"/>
    <w:rsid w:val="00AF0735"/>
  </w:style>
  <w:style w:type="character" w:customStyle="1" w:styleId="2Char0">
    <w:name w:val="正文文本 2 Char"/>
    <w:basedOn w:val="a1"/>
    <w:link w:val="20"/>
    <w:rsid w:val="00AF0735"/>
    <w:rPr>
      <w:rFonts w:ascii="Times New Roman" w:eastAsia="宋体" w:hAnsi="Times New Roman" w:cs="Cambria Math"/>
      <w:kern w:val="2"/>
      <w:szCs w:val="22"/>
      <w:lang w:eastAsia="zh-CN"/>
    </w:rPr>
  </w:style>
  <w:style w:type="character" w:styleId="ae">
    <w:name w:val="FollowedHyperlink"/>
    <w:basedOn w:val="a1"/>
    <w:rsid w:val="003E7597"/>
    <w:rPr>
      <w:color w:val="96607D" w:themeColor="followedHyperlink"/>
      <w:u w:val="single"/>
    </w:rPr>
  </w:style>
  <w:style w:type="paragraph" w:styleId="af">
    <w:name w:val="header"/>
    <w:basedOn w:val="a"/>
    <w:link w:val="Char3"/>
    <w:qFormat/>
    <w:rsid w:val="00931A0F"/>
    <w:pPr>
      <w:tabs>
        <w:tab w:val="center" w:pos="4153"/>
        <w:tab w:val="right" w:pos="8306"/>
      </w:tabs>
      <w:snapToGrid w:val="0"/>
      <w:jc w:val="center"/>
    </w:pPr>
    <w:rPr>
      <w:sz w:val="18"/>
      <w:szCs w:val="18"/>
    </w:rPr>
  </w:style>
  <w:style w:type="character" w:customStyle="1" w:styleId="Char3">
    <w:name w:val="页眉 Char"/>
    <w:basedOn w:val="a1"/>
    <w:link w:val="af"/>
    <w:qFormat/>
    <w:rsid w:val="00931A0F"/>
    <w:rPr>
      <w:rFonts w:ascii="Times New Roman" w:eastAsia="宋体" w:hAnsi="Times New Roman" w:cs="Cambria Math"/>
      <w:kern w:val="2"/>
      <w:sz w:val="18"/>
      <w:szCs w:val="18"/>
      <w:lang w:eastAsia="zh-CN"/>
    </w:rPr>
  </w:style>
  <w:style w:type="character" w:styleId="af0">
    <w:name w:val="page number"/>
    <w:basedOn w:val="a1"/>
    <w:rsid w:val="00C83432"/>
    <w:rPr>
      <w:rFonts w:eastAsia="宋体"/>
      <w:sz w:val="21"/>
    </w:rPr>
  </w:style>
  <w:style w:type="paragraph" w:customStyle="1" w:styleId="SourceCode">
    <w:name w:val="Source Code"/>
    <w:link w:val="VerbatimChar"/>
    <w:pPr>
      <w:wordWrap w:val="0"/>
    </w:pPr>
  </w:style>
  <w:style w:type="character" w:customStyle="1" w:styleId="KeywordTok">
    <w:name w:val="KeywordTok"/>
    <w:basedOn w:val="VerbatimChar"/>
    <w:rPr>
      <w:rFonts w:ascii="Consolas" w:hAnsi="Consolas"/>
      <w:b/>
      <w:color w:val="007020"/>
      <w:sz w:val="22"/>
    </w:rPr>
  </w:style>
  <w:style w:type="character" w:customStyle="1" w:styleId="DataTypeTok">
    <w:name w:val="DataTypeTok"/>
    <w:basedOn w:val="VerbatimChar"/>
    <w:rPr>
      <w:rFonts w:ascii="Consolas" w:hAnsi="Consolas"/>
      <w:color w:val="902000"/>
      <w:sz w:val="22"/>
    </w:rPr>
  </w:style>
  <w:style w:type="character" w:customStyle="1" w:styleId="DecValTok">
    <w:name w:val="DecValTok"/>
    <w:basedOn w:val="VerbatimChar"/>
    <w:rPr>
      <w:rFonts w:ascii="Consolas" w:hAnsi="Consolas"/>
      <w:color w:val="40A070"/>
      <w:sz w:val="22"/>
    </w:rPr>
  </w:style>
  <w:style w:type="character" w:customStyle="1" w:styleId="BaseNTok">
    <w:name w:val="BaseNTok"/>
    <w:basedOn w:val="VerbatimChar"/>
    <w:rPr>
      <w:rFonts w:ascii="Consolas" w:hAnsi="Consolas"/>
      <w:color w:val="40A070"/>
      <w:sz w:val="22"/>
    </w:rPr>
  </w:style>
  <w:style w:type="character" w:customStyle="1" w:styleId="FloatTok">
    <w:name w:val="FloatTok"/>
    <w:basedOn w:val="VerbatimChar"/>
    <w:rPr>
      <w:rFonts w:ascii="Consolas" w:hAnsi="Consolas"/>
      <w:color w:val="40A070"/>
      <w:sz w:val="22"/>
    </w:rPr>
  </w:style>
  <w:style w:type="character" w:customStyle="1" w:styleId="ConstantTok">
    <w:name w:val="ConstantTok"/>
    <w:basedOn w:val="VerbatimChar"/>
    <w:rPr>
      <w:rFonts w:ascii="Consolas" w:hAnsi="Consolas"/>
      <w:color w:val="880000"/>
      <w:sz w:val="22"/>
    </w:rPr>
  </w:style>
  <w:style w:type="character" w:customStyle="1" w:styleId="CharTok">
    <w:name w:val="CharTok"/>
    <w:basedOn w:val="VerbatimChar"/>
    <w:rPr>
      <w:rFonts w:ascii="Consolas" w:hAnsi="Consolas"/>
      <w:color w:val="4070A0"/>
      <w:sz w:val="22"/>
    </w:rPr>
  </w:style>
  <w:style w:type="character" w:customStyle="1" w:styleId="SpecialCharTok">
    <w:name w:val="SpecialCharTok"/>
    <w:basedOn w:val="VerbatimChar"/>
    <w:rPr>
      <w:rFonts w:ascii="Consolas" w:hAnsi="Consolas"/>
      <w:color w:val="4070A0"/>
      <w:sz w:val="22"/>
    </w:rPr>
  </w:style>
  <w:style w:type="character" w:customStyle="1" w:styleId="StringTok">
    <w:name w:val="StringTok"/>
    <w:basedOn w:val="VerbatimChar"/>
    <w:rPr>
      <w:rFonts w:ascii="Consolas" w:hAnsi="Consolas"/>
      <w:color w:val="4070A0"/>
      <w:sz w:val="22"/>
    </w:rPr>
  </w:style>
  <w:style w:type="character" w:customStyle="1" w:styleId="VerbatimStringTok">
    <w:name w:val="VerbatimStringTok"/>
    <w:basedOn w:val="VerbatimChar"/>
    <w:rPr>
      <w:rFonts w:ascii="Consolas" w:hAnsi="Consolas"/>
      <w:color w:val="4070A0"/>
      <w:sz w:val="22"/>
    </w:rPr>
  </w:style>
  <w:style w:type="character" w:customStyle="1" w:styleId="SpecialStringTok">
    <w:name w:val="SpecialStringTok"/>
    <w:basedOn w:val="VerbatimChar"/>
    <w:rPr>
      <w:rFonts w:ascii="Consolas" w:hAnsi="Consolas"/>
      <w:color w:val="BB6688"/>
      <w:sz w:val="22"/>
    </w:rPr>
  </w:style>
  <w:style w:type="character" w:customStyle="1" w:styleId="ImportTok">
    <w:name w:val="ImportTok"/>
    <w:basedOn w:val="VerbatimChar"/>
    <w:rPr>
      <w:rFonts w:ascii="Consolas" w:hAnsi="Consolas"/>
      <w:b/>
      <w:color w:val="008000"/>
      <w:sz w:val="22"/>
    </w:rPr>
  </w:style>
  <w:style w:type="character" w:customStyle="1" w:styleId="CommentTok">
    <w:name w:val="CommentTok"/>
    <w:basedOn w:val="VerbatimChar"/>
    <w:rPr>
      <w:rFonts w:ascii="Consolas" w:hAnsi="Consolas"/>
      <w:i/>
      <w:color w:val="60A0B0"/>
      <w:sz w:val="22"/>
    </w:rPr>
  </w:style>
  <w:style w:type="character" w:customStyle="1" w:styleId="DocumentationTok">
    <w:name w:val="DocumentationTok"/>
    <w:basedOn w:val="VerbatimChar"/>
    <w:rPr>
      <w:rFonts w:ascii="Consolas" w:hAnsi="Consolas"/>
      <w:i/>
      <w:color w:val="BA2121"/>
      <w:sz w:val="22"/>
    </w:rPr>
  </w:style>
  <w:style w:type="character" w:customStyle="1" w:styleId="AnnotationTok">
    <w:name w:val="AnnotationTok"/>
    <w:basedOn w:val="VerbatimChar"/>
    <w:rPr>
      <w:rFonts w:ascii="Consolas" w:hAnsi="Consolas"/>
      <w:b/>
      <w:i/>
      <w:color w:val="60A0B0"/>
      <w:sz w:val="22"/>
    </w:rPr>
  </w:style>
  <w:style w:type="character" w:customStyle="1" w:styleId="CommentVarTok">
    <w:name w:val="CommentVarTok"/>
    <w:basedOn w:val="VerbatimChar"/>
    <w:rPr>
      <w:rFonts w:ascii="Consolas" w:hAnsi="Consolas"/>
      <w:b/>
      <w:i/>
      <w:color w:val="60A0B0"/>
      <w:sz w:val="22"/>
    </w:rPr>
  </w:style>
  <w:style w:type="character" w:customStyle="1" w:styleId="OtherTok">
    <w:name w:val="OtherTok"/>
    <w:basedOn w:val="VerbatimChar"/>
    <w:rPr>
      <w:rFonts w:ascii="Consolas" w:hAnsi="Consolas"/>
      <w:color w:val="007020"/>
      <w:sz w:val="22"/>
    </w:rPr>
  </w:style>
  <w:style w:type="character" w:customStyle="1" w:styleId="FunctionTok">
    <w:name w:val="FunctionTok"/>
    <w:basedOn w:val="VerbatimChar"/>
    <w:rPr>
      <w:rFonts w:ascii="Consolas" w:hAnsi="Consolas"/>
      <w:color w:val="06287E"/>
      <w:sz w:val="22"/>
    </w:rPr>
  </w:style>
  <w:style w:type="character" w:customStyle="1" w:styleId="VariableTok">
    <w:name w:val="VariableTok"/>
    <w:basedOn w:val="VerbatimChar"/>
    <w:rPr>
      <w:rFonts w:ascii="Consolas" w:hAnsi="Consolas"/>
      <w:color w:val="19177C"/>
      <w:sz w:val="22"/>
    </w:rPr>
  </w:style>
  <w:style w:type="character" w:customStyle="1" w:styleId="ControlFlowTok">
    <w:name w:val="ControlFlowTok"/>
    <w:basedOn w:val="VerbatimChar"/>
    <w:rPr>
      <w:rFonts w:ascii="Consolas" w:hAnsi="Consolas"/>
      <w:b/>
      <w:color w:val="007020"/>
      <w:sz w:val="22"/>
    </w:rPr>
  </w:style>
  <w:style w:type="character" w:customStyle="1" w:styleId="OperatorTok">
    <w:name w:val="OperatorTok"/>
    <w:basedOn w:val="VerbatimChar"/>
    <w:rPr>
      <w:rFonts w:ascii="Consolas" w:hAnsi="Consolas"/>
      <w:color w:val="666666"/>
      <w:sz w:val="22"/>
    </w:rPr>
  </w:style>
  <w:style w:type="character" w:customStyle="1" w:styleId="BuiltInTok">
    <w:name w:val="BuiltInTok"/>
    <w:basedOn w:val="VerbatimChar"/>
    <w:rPr>
      <w:rFonts w:ascii="Consolas" w:hAnsi="Consolas"/>
      <w:color w:val="008000"/>
      <w:sz w:val="22"/>
    </w:rPr>
  </w:style>
  <w:style w:type="character" w:customStyle="1" w:styleId="ExtensionTok">
    <w:name w:val="ExtensionTok"/>
    <w:basedOn w:val="VerbatimChar"/>
    <w:rPr>
      <w:rFonts w:ascii="Consolas" w:hAnsi="Consolas"/>
      <w:sz w:val="22"/>
    </w:rPr>
  </w:style>
  <w:style w:type="character" w:customStyle="1" w:styleId="PreprocessorTok">
    <w:name w:val="PreprocessorTok"/>
    <w:basedOn w:val="VerbatimChar"/>
    <w:rPr>
      <w:rFonts w:ascii="Consolas" w:hAnsi="Consolas"/>
      <w:color w:val="BC7A00"/>
      <w:sz w:val="22"/>
    </w:rPr>
  </w:style>
  <w:style w:type="character" w:customStyle="1" w:styleId="AttributeTok">
    <w:name w:val="AttributeTok"/>
    <w:basedOn w:val="VerbatimChar"/>
    <w:rPr>
      <w:rFonts w:ascii="Consolas" w:hAnsi="Consolas"/>
      <w:color w:val="7D9029"/>
      <w:sz w:val="22"/>
    </w:rPr>
  </w:style>
  <w:style w:type="character" w:customStyle="1" w:styleId="RegionMarkerTok">
    <w:name w:val="RegionMarkerTok"/>
    <w:basedOn w:val="VerbatimChar"/>
    <w:rPr>
      <w:rFonts w:ascii="Consolas" w:hAnsi="Consolas"/>
      <w:sz w:val="22"/>
    </w:rPr>
  </w:style>
  <w:style w:type="character" w:customStyle="1" w:styleId="InformationTok">
    <w:name w:val="InformationTok"/>
    <w:basedOn w:val="VerbatimChar"/>
    <w:rPr>
      <w:rFonts w:ascii="Consolas" w:hAnsi="Consolas"/>
      <w:b/>
      <w:i/>
      <w:color w:val="60A0B0"/>
      <w:sz w:val="22"/>
    </w:rPr>
  </w:style>
  <w:style w:type="character" w:customStyle="1" w:styleId="WarningTok">
    <w:name w:val="WarningTok"/>
    <w:basedOn w:val="VerbatimChar"/>
    <w:rPr>
      <w:rFonts w:ascii="Consolas" w:hAnsi="Consolas"/>
      <w:b/>
      <w:i/>
      <w:color w:val="60A0B0"/>
      <w:sz w:val="22"/>
    </w:rPr>
  </w:style>
  <w:style w:type="character" w:customStyle="1" w:styleId="AlertTok">
    <w:name w:val="AlertTok"/>
    <w:basedOn w:val="VerbatimChar"/>
    <w:rPr>
      <w:rFonts w:ascii="Consolas" w:hAnsi="Consolas"/>
      <w:b/>
      <w:color w:val="FF0000"/>
      <w:sz w:val="22"/>
    </w:rPr>
  </w:style>
  <w:style w:type="character" w:customStyle="1" w:styleId="ErrorTok">
    <w:name w:val="ErrorTok"/>
    <w:basedOn w:val="VerbatimChar"/>
    <w:rPr>
      <w:rFonts w:ascii="Consolas" w:hAnsi="Consolas"/>
      <w:b/>
      <w:color w:val="FF0000"/>
      <w:sz w:val="22"/>
    </w:rPr>
  </w:style>
  <w:style w:type="character" w:customStyle="1" w:styleId="NormalTok">
    <w:name w:val="NormalTok"/>
    <w:basedOn w:val="VerbatimChar"/>
    <w:rPr>
      <w:rFonts w:ascii="Consolas" w:hAnsi="Consolas"/>
      <w:sz w:val="22"/>
    </w:rPr>
  </w:style>
  <w:style w:type="paragraph" w:customStyle="1" w:styleId="af1">
    <w:name w:val="段"/>
    <w:link w:val="CharCharChar"/>
    <w:qFormat/>
    <w:rsid w:val="0080303C"/>
    <w:pPr>
      <w:tabs>
        <w:tab w:val="center" w:pos="4201"/>
        <w:tab w:val="right" w:leader="dot" w:pos="9298"/>
      </w:tabs>
      <w:autoSpaceDE w:val="0"/>
      <w:autoSpaceDN w:val="0"/>
      <w:spacing w:after="0"/>
      <w:ind w:firstLineChars="200" w:firstLine="420"/>
      <w:jc w:val="both"/>
    </w:pPr>
    <w:rPr>
      <w:rFonts w:ascii="Times New Roman" w:eastAsia="宋体" w:hAnsi="Times New Roman" w:cs="Times New Roman"/>
      <w:sz w:val="21"/>
      <w:szCs w:val="20"/>
      <w:lang w:eastAsia="zh-CN"/>
    </w:rPr>
  </w:style>
  <w:style w:type="character" w:customStyle="1" w:styleId="CharCharChar">
    <w:name w:val="段 Char Char Char"/>
    <w:link w:val="af1"/>
    <w:qFormat/>
    <w:rsid w:val="0080303C"/>
    <w:rPr>
      <w:rFonts w:ascii="Times New Roman" w:eastAsia="宋体" w:hAnsi="Times New Roman" w:cs="Times New Roman"/>
      <w:sz w:val="21"/>
      <w:szCs w:val="20"/>
      <w:lang w:eastAsia="zh-CN"/>
    </w:rPr>
  </w:style>
  <w:style w:type="paragraph" w:customStyle="1" w:styleId="af2">
    <w:name w:val="标准书眉_奇数页"/>
    <w:qFormat/>
    <w:rsid w:val="00BA3E6C"/>
    <w:pPr>
      <w:tabs>
        <w:tab w:val="center" w:pos="4154"/>
        <w:tab w:val="right" w:pos="8306"/>
      </w:tabs>
      <w:spacing w:after="220"/>
      <w:jc w:val="right"/>
    </w:pPr>
    <w:rPr>
      <w:rFonts w:ascii="黑体" w:eastAsia="黑体" w:hAnsi="Times New Roman" w:cs="Times New Roman"/>
      <w:sz w:val="21"/>
      <w:szCs w:val="21"/>
      <w:lang w:eastAsia="zh-CN"/>
    </w:rPr>
  </w:style>
  <w:style w:type="paragraph" w:styleId="af3">
    <w:name w:val="Balloon Text"/>
    <w:basedOn w:val="a"/>
    <w:link w:val="Char4"/>
    <w:rsid w:val="00C05E96"/>
    <w:pPr>
      <w:spacing w:line="240" w:lineRule="auto"/>
    </w:pPr>
    <w:rPr>
      <w:sz w:val="18"/>
      <w:szCs w:val="18"/>
    </w:rPr>
  </w:style>
  <w:style w:type="character" w:customStyle="1" w:styleId="Char4">
    <w:name w:val="批注框文本 Char"/>
    <w:basedOn w:val="a1"/>
    <w:link w:val="af3"/>
    <w:rsid w:val="00C05E96"/>
    <w:rPr>
      <w:rFonts w:ascii="Times New Roman" w:eastAsia="宋体" w:hAnsi="Times New Roman" w:cs="Cambria Math"/>
      <w:kern w:val="2"/>
      <w:sz w:val="18"/>
      <w:szCs w:val="18"/>
      <w:lang w:eastAsia="zh-C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pPr>
        <w:spacing w:after="200"/>
      </w:pPr>
    </w:pPrDefault>
  </w:docDefaults>
  <w:latentStyles w:defLockedState="0" w:defUIPriority="0" w:defSemiHidden="0" w:defUnhideWhenUsed="0" w:defQFormat="0" w:count="267">
    <w:lsdException w:name="header" w:qFormat="1"/>
    <w:lsdException w:name="footer"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atentStyles>
  <w:style w:type="paragraph" w:default="1" w:styleId="a">
    <w:name w:val="Normal"/>
    <w:qFormat/>
    <w:rsid w:val="007C184E"/>
    <w:pPr>
      <w:widowControl w:val="0"/>
      <w:spacing w:after="0" w:line="360" w:lineRule="auto"/>
    </w:pPr>
    <w:rPr>
      <w:rFonts w:ascii="Times New Roman" w:eastAsia="宋体" w:hAnsi="Times New Roman" w:cs="Cambria Math"/>
      <w:kern w:val="2"/>
      <w:lang w:eastAsia="zh-CN"/>
    </w:rPr>
  </w:style>
  <w:style w:type="paragraph" w:styleId="1">
    <w:name w:val="heading 1"/>
    <w:basedOn w:val="a"/>
    <w:next w:val="a"/>
    <w:link w:val="1Char"/>
    <w:qFormat/>
    <w:rsid w:val="00FB0243"/>
    <w:pPr>
      <w:keepNext/>
      <w:keepLines/>
      <w:spacing w:before="260" w:after="260"/>
      <w:outlineLvl w:val="0"/>
    </w:pPr>
    <w:rPr>
      <w:rFonts w:eastAsia="黑体"/>
      <w:b/>
      <w:bCs/>
      <w:color w:val="000000"/>
      <w:kern w:val="44"/>
      <w:sz w:val="44"/>
      <w:szCs w:val="44"/>
    </w:rPr>
  </w:style>
  <w:style w:type="paragraph" w:styleId="2">
    <w:name w:val="heading 2"/>
    <w:basedOn w:val="a"/>
    <w:next w:val="a"/>
    <w:link w:val="2Char"/>
    <w:unhideWhenUsed/>
    <w:qFormat/>
    <w:rsid w:val="00FB0243"/>
    <w:pPr>
      <w:keepNext/>
      <w:keepLines/>
      <w:spacing w:before="260" w:after="260"/>
      <w:outlineLvl w:val="1"/>
    </w:pPr>
    <w:rPr>
      <w:rFonts w:eastAsia="黑体"/>
      <w:b/>
      <w:bCs/>
      <w:color w:val="000000"/>
      <w:sz w:val="32"/>
      <w:szCs w:val="32"/>
    </w:rPr>
  </w:style>
  <w:style w:type="paragraph" w:styleId="3">
    <w:name w:val="heading 3"/>
    <w:basedOn w:val="a"/>
    <w:next w:val="a"/>
    <w:link w:val="3Char"/>
    <w:unhideWhenUsed/>
    <w:qFormat/>
    <w:rsid w:val="00FB0243"/>
    <w:pPr>
      <w:keepNext/>
      <w:keepLines/>
      <w:spacing w:before="260" w:after="260"/>
      <w:outlineLvl w:val="2"/>
    </w:pPr>
    <w:rPr>
      <w:rFonts w:eastAsia="黑体"/>
      <w:b/>
      <w:bCs/>
      <w:color w:val="000000"/>
      <w:sz w:val="28"/>
      <w:szCs w:val="28"/>
    </w:rPr>
  </w:style>
  <w:style w:type="paragraph" w:styleId="4">
    <w:name w:val="heading 4"/>
    <w:basedOn w:val="a"/>
    <w:next w:val="a"/>
    <w:link w:val="4Char"/>
    <w:unhideWhenUsed/>
    <w:qFormat/>
    <w:rsid w:val="00FB0243"/>
    <w:pPr>
      <w:keepNext/>
      <w:keepLines/>
      <w:spacing w:before="260" w:after="260" w:line="413" w:lineRule="auto"/>
      <w:outlineLvl w:val="3"/>
    </w:pPr>
    <w:rPr>
      <w:rFonts w:ascii="Arial" w:eastAsia="黑体" w:hAnsi="Arial"/>
      <w:b/>
      <w:sz w:val="32"/>
    </w:rPr>
  </w:style>
  <w:style w:type="paragraph" w:styleId="5">
    <w:name w:val="heading 5"/>
    <w:basedOn w:val="a"/>
    <w:next w:val="a0"/>
    <w:link w:val="5Char"/>
    <w:uiPriority w:val="9"/>
    <w:semiHidden/>
    <w:unhideWhenUsed/>
    <w:qFormat/>
    <w:rsid w:val="00A10FD9"/>
    <w:pPr>
      <w:keepNext/>
      <w:keepLines/>
      <w:spacing w:before="80" w:after="40"/>
      <w:outlineLvl w:val="4"/>
    </w:pPr>
    <w:rPr>
      <w:rFonts w:eastAsiaTheme="majorEastAsia" w:cstheme="majorBidi"/>
      <w:color w:val="0F4761" w:themeColor="accent1" w:themeShade="BF"/>
    </w:rPr>
  </w:style>
  <w:style w:type="paragraph" w:styleId="6">
    <w:name w:val="heading 6"/>
    <w:basedOn w:val="a"/>
    <w:next w:val="a0"/>
    <w:link w:val="6Char"/>
    <w:uiPriority w:val="9"/>
    <w:semiHidden/>
    <w:unhideWhenUsed/>
    <w:qFormat/>
    <w:rsid w:val="00A10FD9"/>
    <w:pPr>
      <w:keepNext/>
      <w:keepLines/>
      <w:spacing w:before="40"/>
      <w:outlineLvl w:val="5"/>
    </w:pPr>
    <w:rPr>
      <w:rFonts w:eastAsiaTheme="majorEastAsia" w:cstheme="majorBidi"/>
      <w:i/>
      <w:iCs/>
      <w:color w:val="595959" w:themeColor="text1" w:themeTint="A6"/>
    </w:rPr>
  </w:style>
  <w:style w:type="paragraph" w:styleId="7">
    <w:name w:val="heading 7"/>
    <w:basedOn w:val="a"/>
    <w:next w:val="a0"/>
    <w:link w:val="7Char"/>
    <w:uiPriority w:val="9"/>
    <w:semiHidden/>
    <w:unhideWhenUsed/>
    <w:qFormat/>
    <w:rsid w:val="00A10FD9"/>
    <w:pPr>
      <w:keepNext/>
      <w:keepLines/>
      <w:spacing w:before="40"/>
      <w:outlineLvl w:val="6"/>
    </w:pPr>
    <w:rPr>
      <w:rFonts w:eastAsiaTheme="majorEastAsia" w:cstheme="majorBidi"/>
      <w:color w:val="595959" w:themeColor="text1" w:themeTint="A6"/>
    </w:rPr>
  </w:style>
  <w:style w:type="paragraph" w:styleId="8">
    <w:name w:val="heading 8"/>
    <w:basedOn w:val="a"/>
    <w:next w:val="a0"/>
    <w:link w:val="8Char"/>
    <w:uiPriority w:val="9"/>
    <w:semiHidden/>
    <w:unhideWhenUsed/>
    <w:qFormat/>
    <w:rsid w:val="00A10FD9"/>
    <w:pPr>
      <w:keepNext/>
      <w:keepLines/>
      <w:outlineLvl w:val="7"/>
    </w:pPr>
    <w:rPr>
      <w:rFonts w:eastAsiaTheme="majorEastAsia" w:cstheme="majorBidi"/>
      <w:i/>
      <w:iCs/>
      <w:color w:val="272727" w:themeColor="text1" w:themeTint="D8"/>
    </w:rPr>
  </w:style>
  <w:style w:type="paragraph" w:styleId="9">
    <w:name w:val="heading 9"/>
    <w:basedOn w:val="a"/>
    <w:next w:val="a0"/>
    <w:link w:val="9Char"/>
    <w:uiPriority w:val="9"/>
    <w:semiHidden/>
    <w:unhideWhenUsed/>
    <w:qFormat/>
    <w:rsid w:val="00A10FD9"/>
    <w:pPr>
      <w:keepNext/>
      <w:keepLines/>
      <w:outlineLvl w:val="8"/>
    </w:pPr>
    <w:rPr>
      <w:rFonts w:eastAsiaTheme="majorEastAsia" w:cstheme="majorBidi"/>
      <w:color w:val="272727" w:themeColor="text1" w:themeTint="D8"/>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Body Text"/>
    <w:basedOn w:val="a"/>
    <w:qFormat/>
    <w:rsid w:val="00AF0735"/>
  </w:style>
  <w:style w:type="paragraph" w:customStyle="1" w:styleId="FirstParagraph">
    <w:name w:val="First Paragraph"/>
    <w:basedOn w:val="a0"/>
    <w:next w:val="a0"/>
    <w:qFormat/>
    <w:rsid w:val="00DD0405"/>
  </w:style>
  <w:style w:type="paragraph" w:customStyle="1" w:styleId="Compact">
    <w:name w:val="Compact"/>
    <w:basedOn w:val="a0"/>
    <w:qFormat/>
    <w:rsid w:val="007E0DB5"/>
  </w:style>
  <w:style w:type="paragraph" w:styleId="a4">
    <w:name w:val="Title"/>
    <w:basedOn w:val="a"/>
    <w:next w:val="a0"/>
    <w:link w:val="Char"/>
    <w:uiPriority w:val="10"/>
    <w:qFormat/>
    <w:rsid w:val="00A10FD9"/>
    <w:pPr>
      <w:spacing w:after="80"/>
      <w:contextualSpacing/>
      <w:jc w:val="center"/>
    </w:pPr>
    <w:rPr>
      <w:rFonts w:asciiTheme="majorHAnsi" w:eastAsiaTheme="majorEastAsia" w:hAnsiTheme="majorHAnsi" w:cstheme="majorBidi"/>
      <w:sz w:val="56"/>
      <w:szCs w:val="56"/>
    </w:rPr>
  </w:style>
  <w:style w:type="character" w:customStyle="1" w:styleId="Char">
    <w:name w:val="标题 Char"/>
    <w:basedOn w:val="a1"/>
    <w:link w:val="a4"/>
    <w:uiPriority w:val="10"/>
    <w:rsid w:val="00A10FD9"/>
    <w:rPr>
      <w:rFonts w:asciiTheme="majorHAnsi" w:eastAsiaTheme="majorEastAsia" w:hAnsiTheme="majorHAnsi" w:cstheme="majorBidi"/>
      <w:sz w:val="56"/>
      <w:szCs w:val="56"/>
    </w:rPr>
  </w:style>
  <w:style w:type="paragraph" w:styleId="a5">
    <w:name w:val="Subtitle"/>
    <w:basedOn w:val="a4"/>
    <w:next w:val="a0"/>
    <w:link w:val="Char0"/>
    <w:uiPriority w:val="11"/>
    <w:qFormat/>
    <w:rsid w:val="00A10FD9"/>
    <w:pPr>
      <w:numPr>
        <w:ilvl w:val="1"/>
      </w:numPr>
    </w:pPr>
    <w:rPr>
      <w:spacing w:val="15"/>
      <w:sz w:val="28"/>
      <w:szCs w:val="28"/>
    </w:rPr>
  </w:style>
  <w:style w:type="character" w:customStyle="1" w:styleId="Char0">
    <w:name w:val="副标题 Char"/>
    <w:basedOn w:val="a1"/>
    <w:link w:val="a5"/>
    <w:uiPriority w:val="11"/>
    <w:rsid w:val="00A10FD9"/>
    <w:rPr>
      <w:rFonts w:eastAsiaTheme="majorEastAsia" w:cstheme="majorBidi"/>
      <w:color w:val="595959" w:themeColor="text1" w:themeTint="A6"/>
      <w:spacing w:val="15"/>
      <w:sz w:val="28"/>
      <w:szCs w:val="28"/>
    </w:rPr>
  </w:style>
  <w:style w:type="paragraph" w:customStyle="1" w:styleId="Author">
    <w:name w:val="Author"/>
    <w:basedOn w:val="a4"/>
    <w:next w:val="a0"/>
    <w:qFormat/>
    <w:pPr>
      <w:keepNext/>
      <w:keepLines/>
    </w:pPr>
    <w:rPr>
      <w:sz w:val="24"/>
      <w:szCs w:val="24"/>
    </w:rPr>
  </w:style>
  <w:style w:type="paragraph" w:styleId="a6">
    <w:name w:val="Date"/>
    <w:basedOn w:val="a4"/>
    <w:next w:val="a0"/>
    <w:qFormat/>
    <w:pPr>
      <w:keepNext/>
      <w:keepLines/>
    </w:pPr>
    <w:rPr>
      <w:sz w:val="24"/>
      <w:szCs w:val="24"/>
    </w:rPr>
  </w:style>
  <w:style w:type="paragraph" w:customStyle="1" w:styleId="AbstractTitle">
    <w:name w:val="Abstract Title"/>
    <w:basedOn w:val="a"/>
    <w:next w:val="Abstract"/>
    <w:qFormat/>
    <w:pPr>
      <w:keepNext/>
      <w:keepLines/>
      <w:spacing w:before="300"/>
      <w:jc w:val="center"/>
    </w:pPr>
    <w:rPr>
      <w:b/>
      <w:sz w:val="20"/>
      <w:szCs w:val="20"/>
    </w:rPr>
  </w:style>
  <w:style w:type="paragraph" w:customStyle="1" w:styleId="Abstract">
    <w:name w:val="Abstract"/>
    <w:basedOn w:val="a"/>
    <w:next w:val="a0"/>
    <w:qFormat/>
    <w:pPr>
      <w:keepNext/>
      <w:keepLines/>
      <w:spacing w:before="100" w:after="300"/>
    </w:pPr>
    <w:rPr>
      <w:sz w:val="20"/>
      <w:szCs w:val="20"/>
    </w:rPr>
  </w:style>
  <w:style w:type="paragraph" w:styleId="a7">
    <w:name w:val="Bibliography"/>
    <w:basedOn w:val="a"/>
    <w:qFormat/>
  </w:style>
  <w:style w:type="character" w:customStyle="1" w:styleId="1Char">
    <w:name w:val="标题 1 Char"/>
    <w:basedOn w:val="a1"/>
    <w:link w:val="1"/>
    <w:rsid w:val="00A10FD9"/>
    <w:rPr>
      <w:rFonts w:ascii="Times New Roman" w:eastAsia="黑体" w:hAnsi="Times New Roman" w:cs="Cambria Math"/>
      <w:b/>
      <w:kern w:val="44"/>
      <w:sz w:val="32"/>
      <w:szCs w:val="22"/>
      <w:lang w:eastAsia="zh-CN"/>
    </w:rPr>
  </w:style>
  <w:style w:type="character" w:customStyle="1" w:styleId="2Char">
    <w:name w:val="标题 2 Char"/>
    <w:basedOn w:val="a1"/>
    <w:link w:val="2"/>
    <w:rsid w:val="00A10FD9"/>
    <w:rPr>
      <w:rFonts w:ascii="Arial" w:eastAsia="黑体" w:hAnsi="Arial" w:cs="Cambria Math"/>
      <w:b/>
      <w:kern w:val="2"/>
      <w:sz w:val="32"/>
      <w:szCs w:val="22"/>
      <w:lang w:eastAsia="zh-CN"/>
    </w:rPr>
  </w:style>
  <w:style w:type="character" w:customStyle="1" w:styleId="3Char">
    <w:name w:val="标题 3 Char"/>
    <w:basedOn w:val="a1"/>
    <w:link w:val="3"/>
    <w:rsid w:val="00A10FD9"/>
    <w:rPr>
      <w:rFonts w:ascii="Times New Roman" w:eastAsia="黑体" w:hAnsi="Times New Roman" w:cs="Cambria Math"/>
      <w:b/>
      <w:kern w:val="2"/>
      <w:sz w:val="32"/>
      <w:szCs w:val="22"/>
      <w:lang w:eastAsia="zh-CN"/>
    </w:rPr>
  </w:style>
  <w:style w:type="character" w:customStyle="1" w:styleId="4Char">
    <w:name w:val="标题 4 Char"/>
    <w:basedOn w:val="a1"/>
    <w:link w:val="4"/>
    <w:rsid w:val="00A10FD9"/>
    <w:rPr>
      <w:rFonts w:ascii="Arial" w:eastAsia="黑体" w:hAnsi="Arial" w:cs="Cambria Math"/>
      <w:b/>
      <w:kern w:val="2"/>
      <w:sz w:val="32"/>
      <w:szCs w:val="22"/>
      <w:lang w:eastAsia="zh-CN"/>
    </w:rPr>
  </w:style>
  <w:style w:type="character" w:customStyle="1" w:styleId="5Char">
    <w:name w:val="标题 5 Char"/>
    <w:basedOn w:val="a1"/>
    <w:link w:val="5"/>
    <w:uiPriority w:val="9"/>
    <w:semiHidden/>
    <w:rsid w:val="00A10FD9"/>
    <w:rPr>
      <w:rFonts w:eastAsiaTheme="majorEastAsia" w:cstheme="majorBidi"/>
      <w:color w:val="0F4761" w:themeColor="accent1" w:themeShade="BF"/>
    </w:rPr>
  </w:style>
  <w:style w:type="character" w:customStyle="1" w:styleId="6Char">
    <w:name w:val="标题 6 Char"/>
    <w:basedOn w:val="a1"/>
    <w:link w:val="6"/>
    <w:uiPriority w:val="9"/>
    <w:semiHidden/>
    <w:rsid w:val="00A10FD9"/>
    <w:rPr>
      <w:rFonts w:eastAsiaTheme="majorEastAsia" w:cstheme="majorBidi"/>
      <w:i/>
      <w:iCs/>
      <w:color w:val="595959" w:themeColor="text1" w:themeTint="A6"/>
    </w:rPr>
  </w:style>
  <w:style w:type="character" w:customStyle="1" w:styleId="7Char">
    <w:name w:val="标题 7 Char"/>
    <w:basedOn w:val="a1"/>
    <w:link w:val="7"/>
    <w:uiPriority w:val="9"/>
    <w:semiHidden/>
    <w:rsid w:val="00A10FD9"/>
    <w:rPr>
      <w:rFonts w:eastAsiaTheme="majorEastAsia" w:cstheme="majorBidi"/>
      <w:color w:val="595959" w:themeColor="text1" w:themeTint="A6"/>
    </w:rPr>
  </w:style>
  <w:style w:type="character" w:customStyle="1" w:styleId="8Char">
    <w:name w:val="标题 8 Char"/>
    <w:basedOn w:val="a1"/>
    <w:link w:val="8"/>
    <w:uiPriority w:val="9"/>
    <w:semiHidden/>
    <w:rsid w:val="00A10FD9"/>
    <w:rPr>
      <w:rFonts w:eastAsiaTheme="majorEastAsia" w:cstheme="majorBidi"/>
      <w:i/>
      <w:iCs/>
      <w:color w:val="272727" w:themeColor="text1" w:themeTint="D8"/>
    </w:rPr>
  </w:style>
  <w:style w:type="character" w:customStyle="1" w:styleId="9Char">
    <w:name w:val="标题 9 Char"/>
    <w:basedOn w:val="a1"/>
    <w:link w:val="9"/>
    <w:uiPriority w:val="9"/>
    <w:semiHidden/>
    <w:rsid w:val="00A10FD9"/>
    <w:rPr>
      <w:rFonts w:eastAsiaTheme="majorEastAsia" w:cstheme="majorBidi"/>
      <w:color w:val="272727" w:themeColor="text1" w:themeTint="D8"/>
    </w:rPr>
  </w:style>
  <w:style w:type="paragraph" w:styleId="a8">
    <w:name w:val="Block Text"/>
    <w:basedOn w:val="a0"/>
    <w:next w:val="a0"/>
    <w:uiPriority w:val="9"/>
    <w:unhideWhenUsed/>
    <w:qFormat/>
    <w:rsid w:val="003E7597"/>
    <w:pPr>
      <w:ind w:left="482" w:right="482"/>
    </w:pPr>
  </w:style>
  <w:style w:type="paragraph" w:styleId="a9">
    <w:name w:val="footnote text"/>
    <w:basedOn w:val="a"/>
    <w:uiPriority w:val="9"/>
    <w:unhideWhenUsed/>
    <w:qFormat/>
  </w:style>
  <w:style w:type="paragraph" w:customStyle="1" w:styleId="FootnoteBlockText">
    <w:name w:val="Footnote Block Text"/>
    <w:basedOn w:val="a9"/>
    <w:next w:val="a9"/>
    <w:uiPriority w:val="9"/>
    <w:unhideWhenUsed/>
    <w:qFormat/>
    <w:pPr>
      <w:spacing w:before="100" w:after="100"/>
      <w:ind w:left="480" w:right="480"/>
    </w:pPr>
  </w:style>
  <w:style w:type="table" w:customStyle="1" w:styleId="Table">
    <w:name w:val="Table"/>
    <w:semiHidden/>
    <w:unhideWhenUsed/>
    <w:qFormat/>
    <w:rsid w:val="00FB0243"/>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160" w:type="dxa"/>
        <w:left w:w="160" w:type="dxa"/>
        <w:bottom w:w="160" w:type="dxa"/>
        <w:right w:w="160" w:type="dxa"/>
      </w:tblCellMar>
    </w:tblPr>
    <w:tblStylePr w:type="firstRow">
      <w:tblPr>
        <w:jc w:val="left"/>
      </w:tblPr>
      <w:trPr>
        <w:jc w:val="left"/>
      </w:trPr>
      <w:tcPr>
        <w:vAlign w:val="bottom"/>
      </w:tcPr>
    </w:tblStylePr>
  </w:style>
  <w:style w:type="paragraph" w:customStyle="1" w:styleId="DefinitionTerm">
    <w:name w:val="Definition Term"/>
    <w:basedOn w:val="a"/>
    <w:next w:val="Definition"/>
    <w:pPr>
      <w:keepNext/>
      <w:keepLines/>
    </w:pPr>
    <w:rPr>
      <w:b/>
    </w:rPr>
  </w:style>
  <w:style w:type="paragraph" w:customStyle="1" w:styleId="Definition">
    <w:name w:val="Definition"/>
    <w:basedOn w:val="a"/>
  </w:style>
  <w:style w:type="paragraph" w:styleId="aa">
    <w:name w:val="caption"/>
    <w:basedOn w:val="a"/>
    <w:link w:val="Char1"/>
    <w:pPr>
      <w:spacing w:after="120"/>
    </w:pPr>
    <w:rPr>
      <w:i/>
    </w:rPr>
  </w:style>
  <w:style w:type="paragraph" w:customStyle="1" w:styleId="TableCaption">
    <w:name w:val="Table Caption"/>
    <w:basedOn w:val="aa"/>
    <w:pPr>
      <w:keepNext/>
    </w:pPr>
  </w:style>
  <w:style w:type="paragraph" w:customStyle="1" w:styleId="ImageCaption">
    <w:name w:val="Image Caption"/>
    <w:basedOn w:val="aa"/>
  </w:style>
  <w:style w:type="paragraph" w:customStyle="1" w:styleId="Figure">
    <w:name w:val="Figure"/>
    <w:basedOn w:val="a"/>
  </w:style>
  <w:style w:type="paragraph" w:customStyle="1" w:styleId="CaptionedFigure">
    <w:name w:val="Captioned Figure"/>
    <w:basedOn w:val="Figure"/>
    <w:pPr>
      <w:keepNext/>
    </w:pPr>
  </w:style>
  <w:style w:type="character" w:customStyle="1" w:styleId="Char1">
    <w:name w:val="题注 Char"/>
    <w:basedOn w:val="a1"/>
    <w:link w:val="aa"/>
  </w:style>
  <w:style w:type="character" w:customStyle="1" w:styleId="VerbatimChar">
    <w:name w:val="Verbatim Char"/>
    <w:basedOn w:val="Char1"/>
    <w:link w:val="SourceCode"/>
    <w:rPr>
      <w:rFonts w:ascii="Consolas" w:hAnsi="Consolas"/>
      <w:sz w:val="22"/>
    </w:rPr>
  </w:style>
  <w:style w:type="character" w:customStyle="1" w:styleId="SectionNumber">
    <w:name w:val="Section Number"/>
    <w:basedOn w:val="Char1"/>
  </w:style>
  <w:style w:type="character" w:styleId="ab">
    <w:name w:val="footnote reference"/>
    <w:basedOn w:val="Char1"/>
    <w:rPr>
      <w:vertAlign w:val="superscript"/>
    </w:rPr>
  </w:style>
  <w:style w:type="character" w:styleId="ac">
    <w:name w:val="Hyperlink"/>
    <w:basedOn w:val="Char1"/>
    <w:rPr>
      <w:color w:val="156082" w:themeColor="accent1"/>
    </w:rPr>
  </w:style>
  <w:style w:type="paragraph" w:styleId="TOC">
    <w:name w:val="TOC Heading"/>
    <w:basedOn w:val="1"/>
    <w:next w:val="a0"/>
    <w:uiPriority w:val="39"/>
    <w:unhideWhenUsed/>
    <w:qFormat/>
    <w:pPr>
      <w:spacing w:before="240" w:line="259" w:lineRule="auto"/>
      <w:outlineLvl w:val="9"/>
    </w:pPr>
    <w:rPr>
      <w:rFonts w:asciiTheme="majorHAnsi" w:eastAsiaTheme="majorEastAsia" w:hAnsiTheme="majorHAnsi" w:cstheme="majorBidi"/>
      <w:color w:val="0F4761" w:themeColor="accent1" w:themeShade="BF"/>
    </w:rPr>
  </w:style>
  <w:style w:type="paragraph" w:styleId="ad">
    <w:name w:val="footer"/>
    <w:basedOn w:val="a"/>
    <w:link w:val="Char2"/>
    <w:qFormat/>
    <w:rsid w:val="00FB0243"/>
    <w:pPr>
      <w:tabs>
        <w:tab w:val="center" w:pos="4153"/>
        <w:tab w:val="right" w:pos="8306"/>
      </w:tabs>
      <w:snapToGrid w:val="0"/>
      <w:jc w:val="center"/>
    </w:pPr>
    <w:rPr>
      <w:sz w:val="11"/>
      <w:szCs w:val="18"/>
    </w:rPr>
  </w:style>
  <w:style w:type="character" w:customStyle="1" w:styleId="Char2">
    <w:name w:val="页脚 Char"/>
    <w:link w:val="ad"/>
    <w:qFormat/>
    <w:rsid w:val="00FB0243"/>
    <w:rPr>
      <w:rFonts w:ascii="Times New Roman" w:eastAsia="宋体" w:hAnsi="Times New Roman" w:cs="Cambria Math"/>
      <w:kern w:val="2"/>
      <w:sz w:val="11"/>
      <w:szCs w:val="18"/>
      <w:lang w:eastAsia="zh-CN"/>
    </w:rPr>
  </w:style>
  <w:style w:type="paragraph" w:styleId="20">
    <w:name w:val="Body Text 2"/>
    <w:basedOn w:val="a"/>
    <w:link w:val="2Char0"/>
    <w:rsid w:val="00AF0735"/>
  </w:style>
  <w:style w:type="character" w:customStyle="1" w:styleId="2Char0">
    <w:name w:val="正文文本 2 Char"/>
    <w:basedOn w:val="a1"/>
    <w:link w:val="20"/>
    <w:rsid w:val="00AF0735"/>
    <w:rPr>
      <w:rFonts w:ascii="Times New Roman" w:eastAsia="宋体" w:hAnsi="Times New Roman" w:cs="Cambria Math"/>
      <w:kern w:val="2"/>
      <w:szCs w:val="22"/>
      <w:lang w:eastAsia="zh-CN"/>
    </w:rPr>
  </w:style>
  <w:style w:type="character" w:styleId="ae">
    <w:name w:val="FollowedHyperlink"/>
    <w:basedOn w:val="a1"/>
    <w:rsid w:val="003E7597"/>
    <w:rPr>
      <w:color w:val="96607D" w:themeColor="followedHyperlink"/>
      <w:u w:val="single"/>
    </w:rPr>
  </w:style>
  <w:style w:type="paragraph" w:styleId="af">
    <w:name w:val="header"/>
    <w:basedOn w:val="a"/>
    <w:link w:val="Char3"/>
    <w:qFormat/>
    <w:rsid w:val="00931A0F"/>
    <w:pPr>
      <w:tabs>
        <w:tab w:val="center" w:pos="4153"/>
        <w:tab w:val="right" w:pos="8306"/>
      </w:tabs>
      <w:snapToGrid w:val="0"/>
      <w:jc w:val="center"/>
    </w:pPr>
    <w:rPr>
      <w:sz w:val="18"/>
      <w:szCs w:val="18"/>
    </w:rPr>
  </w:style>
  <w:style w:type="character" w:customStyle="1" w:styleId="Char3">
    <w:name w:val="页眉 Char"/>
    <w:basedOn w:val="a1"/>
    <w:link w:val="af"/>
    <w:qFormat/>
    <w:rsid w:val="00931A0F"/>
    <w:rPr>
      <w:rFonts w:ascii="Times New Roman" w:eastAsia="宋体" w:hAnsi="Times New Roman" w:cs="Cambria Math"/>
      <w:kern w:val="2"/>
      <w:sz w:val="18"/>
      <w:szCs w:val="18"/>
      <w:lang w:eastAsia="zh-CN"/>
    </w:rPr>
  </w:style>
  <w:style w:type="character" w:styleId="af0">
    <w:name w:val="page number"/>
    <w:basedOn w:val="a1"/>
    <w:rsid w:val="00C83432"/>
    <w:rPr>
      <w:rFonts w:eastAsia="宋体"/>
      <w:sz w:val="21"/>
    </w:rPr>
  </w:style>
  <w:style w:type="paragraph" w:customStyle="1" w:styleId="SourceCode">
    <w:name w:val="Source Code"/>
    <w:link w:val="VerbatimChar"/>
    <w:pPr>
      <w:wordWrap w:val="0"/>
    </w:pPr>
  </w:style>
  <w:style w:type="character" w:customStyle="1" w:styleId="KeywordTok">
    <w:name w:val="KeywordTok"/>
    <w:basedOn w:val="VerbatimChar"/>
    <w:rPr>
      <w:rFonts w:ascii="Consolas" w:hAnsi="Consolas"/>
      <w:b/>
      <w:color w:val="007020"/>
      <w:sz w:val="22"/>
    </w:rPr>
  </w:style>
  <w:style w:type="character" w:customStyle="1" w:styleId="DataTypeTok">
    <w:name w:val="DataTypeTok"/>
    <w:basedOn w:val="VerbatimChar"/>
    <w:rPr>
      <w:rFonts w:ascii="Consolas" w:hAnsi="Consolas"/>
      <w:color w:val="902000"/>
      <w:sz w:val="22"/>
    </w:rPr>
  </w:style>
  <w:style w:type="character" w:customStyle="1" w:styleId="DecValTok">
    <w:name w:val="DecValTok"/>
    <w:basedOn w:val="VerbatimChar"/>
    <w:rPr>
      <w:rFonts w:ascii="Consolas" w:hAnsi="Consolas"/>
      <w:color w:val="40A070"/>
      <w:sz w:val="22"/>
    </w:rPr>
  </w:style>
  <w:style w:type="character" w:customStyle="1" w:styleId="BaseNTok">
    <w:name w:val="BaseNTok"/>
    <w:basedOn w:val="VerbatimChar"/>
    <w:rPr>
      <w:rFonts w:ascii="Consolas" w:hAnsi="Consolas"/>
      <w:color w:val="40A070"/>
      <w:sz w:val="22"/>
    </w:rPr>
  </w:style>
  <w:style w:type="character" w:customStyle="1" w:styleId="FloatTok">
    <w:name w:val="FloatTok"/>
    <w:basedOn w:val="VerbatimChar"/>
    <w:rPr>
      <w:rFonts w:ascii="Consolas" w:hAnsi="Consolas"/>
      <w:color w:val="40A070"/>
      <w:sz w:val="22"/>
    </w:rPr>
  </w:style>
  <w:style w:type="character" w:customStyle="1" w:styleId="ConstantTok">
    <w:name w:val="ConstantTok"/>
    <w:basedOn w:val="VerbatimChar"/>
    <w:rPr>
      <w:rFonts w:ascii="Consolas" w:hAnsi="Consolas"/>
      <w:color w:val="880000"/>
      <w:sz w:val="22"/>
    </w:rPr>
  </w:style>
  <w:style w:type="character" w:customStyle="1" w:styleId="CharTok">
    <w:name w:val="CharTok"/>
    <w:basedOn w:val="VerbatimChar"/>
    <w:rPr>
      <w:rFonts w:ascii="Consolas" w:hAnsi="Consolas"/>
      <w:color w:val="4070A0"/>
      <w:sz w:val="22"/>
    </w:rPr>
  </w:style>
  <w:style w:type="character" w:customStyle="1" w:styleId="SpecialCharTok">
    <w:name w:val="SpecialCharTok"/>
    <w:basedOn w:val="VerbatimChar"/>
    <w:rPr>
      <w:rFonts w:ascii="Consolas" w:hAnsi="Consolas"/>
      <w:color w:val="4070A0"/>
      <w:sz w:val="22"/>
    </w:rPr>
  </w:style>
  <w:style w:type="character" w:customStyle="1" w:styleId="StringTok">
    <w:name w:val="StringTok"/>
    <w:basedOn w:val="VerbatimChar"/>
    <w:rPr>
      <w:rFonts w:ascii="Consolas" w:hAnsi="Consolas"/>
      <w:color w:val="4070A0"/>
      <w:sz w:val="22"/>
    </w:rPr>
  </w:style>
  <w:style w:type="character" w:customStyle="1" w:styleId="VerbatimStringTok">
    <w:name w:val="VerbatimStringTok"/>
    <w:basedOn w:val="VerbatimChar"/>
    <w:rPr>
      <w:rFonts w:ascii="Consolas" w:hAnsi="Consolas"/>
      <w:color w:val="4070A0"/>
      <w:sz w:val="22"/>
    </w:rPr>
  </w:style>
  <w:style w:type="character" w:customStyle="1" w:styleId="SpecialStringTok">
    <w:name w:val="SpecialStringTok"/>
    <w:basedOn w:val="VerbatimChar"/>
    <w:rPr>
      <w:rFonts w:ascii="Consolas" w:hAnsi="Consolas"/>
      <w:color w:val="BB6688"/>
      <w:sz w:val="22"/>
    </w:rPr>
  </w:style>
  <w:style w:type="character" w:customStyle="1" w:styleId="ImportTok">
    <w:name w:val="ImportTok"/>
    <w:basedOn w:val="VerbatimChar"/>
    <w:rPr>
      <w:rFonts w:ascii="Consolas" w:hAnsi="Consolas"/>
      <w:b/>
      <w:color w:val="008000"/>
      <w:sz w:val="22"/>
    </w:rPr>
  </w:style>
  <w:style w:type="character" w:customStyle="1" w:styleId="CommentTok">
    <w:name w:val="CommentTok"/>
    <w:basedOn w:val="VerbatimChar"/>
    <w:rPr>
      <w:rFonts w:ascii="Consolas" w:hAnsi="Consolas"/>
      <w:i/>
      <w:color w:val="60A0B0"/>
      <w:sz w:val="22"/>
    </w:rPr>
  </w:style>
  <w:style w:type="character" w:customStyle="1" w:styleId="DocumentationTok">
    <w:name w:val="DocumentationTok"/>
    <w:basedOn w:val="VerbatimChar"/>
    <w:rPr>
      <w:rFonts w:ascii="Consolas" w:hAnsi="Consolas"/>
      <w:i/>
      <w:color w:val="BA2121"/>
      <w:sz w:val="22"/>
    </w:rPr>
  </w:style>
  <w:style w:type="character" w:customStyle="1" w:styleId="AnnotationTok">
    <w:name w:val="AnnotationTok"/>
    <w:basedOn w:val="VerbatimChar"/>
    <w:rPr>
      <w:rFonts w:ascii="Consolas" w:hAnsi="Consolas"/>
      <w:b/>
      <w:i/>
      <w:color w:val="60A0B0"/>
      <w:sz w:val="22"/>
    </w:rPr>
  </w:style>
  <w:style w:type="character" w:customStyle="1" w:styleId="CommentVarTok">
    <w:name w:val="CommentVarTok"/>
    <w:basedOn w:val="VerbatimChar"/>
    <w:rPr>
      <w:rFonts w:ascii="Consolas" w:hAnsi="Consolas"/>
      <w:b/>
      <w:i/>
      <w:color w:val="60A0B0"/>
      <w:sz w:val="22"/>
    </w:rPr>
  </w:style>
  <w:style w:type="character" w:customStyle="1" w:styleId="OtherTok">
    <w:name w:val="OtherTok"/>
    <w:basedOn w:val="VerbatimChar"/>
    <w:rPr>
      <w:rFonts w:ascii="Consolas" w:hAnsi="Consolas"/>
      <w:color w:val="007020"/>
      <w:sz w:val="22"/>
    </w:rPr>
  </w:style>
  <w:style w:type="character" w:customStyle="1" w:styleId="FunctionTok">
    <w:name w:val="FunctionTok"/>
    <w:basedOn w:val="VerbatimChar"/>
    <w:rPr>
      <w:rFonts w:ascii="Consolas" w:hAnsi="Consolas"/>
      <w:color w:val="06287E"/>
      <w:sz w:val="22"/>
    </w:rPr>
  </w:style>
  <w:style w:type="character" w:customStyle="1" w:styleId="VariableTok">
    <w:name w:val="VariableTok"/>
    <w:basedOn w:val="VerbatimChar"/>
    <w:rPr>
      <w:rFonts w:ascii="Consolas" w:hAnsi="Consolas"/>
      <w:color w:val="19177C"/>
      <w:sz w:val="22"/>
    </w:rPr>
  </w:style>
  <w:style w:type="character" w:customStyle="1" w:styleId="ControlFlowTok">
    <w:name w:val="ControlFlowTok"/>
    <w:basedOn w:val="VerbatimChar"/>
    <w:rPr>
      <w:rFonts w:ascii="Consolas" w:hAnsi="Consolas"/>
      <w:b/>
      <w:color w:val="007020"/>
      <w:sz w:val="22"/>
    </w:rPr>
  </w:style>
  <w:style w:type="character" w:customStyle="1" w:styleId="OperatorTok">
    <w:name w:val="OperatorTok"/>
    <w:basedOn w:val="VerbatimChar"/>
    <w:rPr>
      <w:rFonts w:ascii="Consolas" w:hAnsi="Consolas"/>
      <w:color w:val="666666"/>
      <w:sz w:val="22"/>
    </w:rPr>
  </w:style>
  <w:style w:type="character" w:customStyle="1" w:styleId="BuiltInTok">
    <w:name w:val="BuiltInTok"/>
    <w:basedOn w:val="VerbatimChar"/>
    <w:rPr>
      <w:rFonts w:ascii="Consolas" w:hAnsi="Consolas"/>
      <w:color w:val="008000"/>
      <w:sz w:val="22"/>
    </w:rPr>
  </w:style>
  <w:style w:type="character" w:customStyle="1" w:styleId="ExtensionTok">
    <w:name w:val="ExtensionTok"/>
    <w:basedOn w:val="VerbatimChar"/>
    <w:rPr>
      <w:rFonts w:ascii="Consolas" w:hAnsi="Consolas"/>
      <w:sz w:val="22"/>
    </w:rPr>
  </w:style>
  <w:style w:type="character" w:customStyle="1" w:styleId="PreprocessorTok">
    <w:name w:val="PreprocessorTok"/>
    <w:basedOn w:val="VerbatimChar"/>
    <w:rPr>
      <w:rFonts w:ascii="Consolas" w:hAnsi="Consolas"/>
      <w:color w:val="BC7A00"/>
      <w:sz w:val="22"/>
    </w:rPr>
  </w:style>
  <w:style w:type="character" w:customStyle="1" w:styleId="AttributeTok">
    <w:name w:val="AttributeTok"/>
    <w:basedOn w:val="VerbatimChar"/>
    <w:rPr>
      <w:rFonts w:ascii="Consolas" w:hAnsi="Consolas"/>
      <w:color w:val="7D9029"/>
      <w:sz w:val="22"/>
    </w:rPr>
  </w:style>
  <w:style w:type="character" w:customStyle="1" w:styleId="RegionMarkerTok">
    <w:name w:val="RegionMarkerTok"/>
    <w:basedOn w:val="VerbatimChar"/>
    <w:rPr>
      <w:rFonts w:ascii="Consolas" w:hAnsi="Consolas"/>
      <w:sz w:val="22"/>
    </w:rPr>
  </w:style>
  <w:style w:type="character" w:customStyle="1" w:styleId="InformationTok">
    <w:name w:val="InformationTok"/>
    <w:basedOn w:val="VerbatimChar"/>
    <w:rPr>
      <w:rFonts w:ascii="Consolas" w:hAnsi="Consolas"/>
      <w:b/>
      <w:i/>
      <w:color w:val="60A0B0"/>
      <w:sz w:val="22"/>
    </w:rPr>
  </w:style>
  <w:style w:type="character" w:customStyle="1" w:styleId="WarningTok">
    <w:name w:val="WarningTok"/>
    <w:basedOn w:val="VerbatimChar"/>
    <w:rPr>
      <w:rFonts w:ascii="Consolas" w:hAnsi="Consolas"/>
      <w:b/>
      <w:i/>
      <w:color w:val="60A0B0"/>
      <w:sz w:val="22"/>
    </w:rPr>
  </w:style>
  <w:style w:type="character" w:customStyle="1" w:styleId="AlertTok">
    <w:name w:val="AlertTok"/>
    <w:basedOn w:val="VerbatimChar"/>
    <w:rPr>
      <w:rFonts w:ascii="Consolas" w:hAnsi="Consolas"/>
      <w:b/>
      <w:color w:val="FF0000"/>
      <w:sz w:val="22"/>
    </w:rPr>
  </w:style>
  <w:style w:type="character" w:customStyle="1" w:styleId="ErrorTok">
    <w:name w:val="ErrorTok"/>
    <w:basedOn w:val="VerbatimChar"/>
    <w:rPr>
      <w:rFonts w:ascii="Consolas" w:hAnsi="Consolas"/>
      <w:b/>
      <w:color w:val="FF0000"/>
      <w:sz w:val="22"/>
    </w:rPr>
  </w:style>
  <w:style w:type="character" w:customStyle="1" w:styleId="NormalTok">
    <w:name w:val="NormalTok"/>
    <w:basedOn w:val="VerbatimChar"/>
    <w:rPr>
      <w:rFonts w:ascii="Consolas" w:hAnsi="Consolas"/>
      <w:sz w:val="22"/>
    </w:rPr>
  </w:style>
  <w:style w:type="paragraph" w:customStyle="1" w:styleId="af1">
    <w:name w:val="段"/>
    <w:link w:val="CharCharChar"/>
    <w:qFormat/>
    <w:rsid w:val="0080303C"/>
    <w:pPr>
      <w:tabs>
        <w:tab w:val="center" w:pos="4201"/>
        <w:tab w:val="right" w:leader="dot" w:pos="9298"/>
      </w:tabs>
      <w:autoSpaceDE w:val="0"/>
      <w:autoSpaceDN w:val="0"/>
      <w:spacing w:after="0"/>
      <w:ind w:firstLineChars="200" w:firstLine="420"/>
      <w:jc w:val="both"/>
    </w:pPr>
    <w:rPr>
      <w:rFonts w:ascii="Times New Roman" w:eastAsia="宋体" w:hAnsi="Times New Roman" w:cs="Times New Roman"/>
      <w:sz w:val="21"/>
      <w:szCs w:val="20"/>
      <w:lang w:eastAsia="zh-CN"/>
    </w:rPr>
  </w:style>
  <w:style w:type="character" w:customStyle="1" w:styleId="CharCharChar">
    <w:name w:val="段 Char Char Char"/>
    <w:link w:val="af1"/>
    <w:qFormat/>
    <w:rsid w:val="0080303C"/>
    <w:rPr>
      <w:rFonts w:ascii="Times New Roman" w:eastAsia="宋体" w:hAnsi="Times New Roman" w:cs="Times New Roman"/>
      <w:sz w:val="21"/>
      <w:szCs w:val="20"/>
      <w:lang w:eastAsia="zh-CN"/>
    </w:rPr>
  </w:style>
  <w:style w:type="paragraph" w:customStyle="1" w:styleId="af2">
    <w:name w:val="标准书眉_奇数页"/>
    <w:qFormat/>
    <w:rsid w:val="00BA3E6C"/>
    <w:pPr>
      <w:tabs>
        <w:tab w:val="center" w:pos="4154"/>
        <w:tab w:val="right" w:pos="8306"/>
      </w:tabs>
      <w:spacing w:after="220"/>
      <w:jc w:val="right"/>
    </w:pPr>
    <w:rPr>
      <w:rFonts w:ascii="黑体" w:eastAsia="黑体" w:hAnsi="Times New Roman" w:cs="Times New Roman"/>
      <w:sz w:val="21"/>
      <w:szCs w:val="21"/>
      <w:lang w:eastAsia="zh-CN"/>
    </w:rPr>
  </w:style>
  <w:style w:type="paragraph" w:styleId="af3">
    <w:name w:val="Balloon Text"/>
    <w:basedOn w:val="a"/>
    <w:link w:val="Char4"/>
    <w:rsid w:val="00C05E96"/>
    <w:pPr>
      <w:spacing w:line="240" w:lineRule="auto"/>
    </w:pPr>
    <w:rPr>
      <w:sz w:val="18"/>
      <w:szCs w:val="18"/>
    </w:rPr>
  </w:style>
  <w:style w:type="character" w:customStyle="1" w:styleId="Char4">
    <w:name w:val="批注框文本 Char"/>
    <w:basedOn w:val="a1"/>
    <w:link w:val="af3"/>
    <w:rsid w:val="00C05E96"/>
    <w:rPr>
      <w:rFonts w:ascii="Times New Roman" w:eastAsia="宋体" w:hAnsi="Times New Roman" w:cs="Cambria Math"/>
      <w:kern w:val="2"/>
      <w:sz w:val="18"/>
      <w:szCs w:val="18"/>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40</TotalTime>
  <Pages>1</Pages>
  <Words>3425</Words>
  <Characters>19524</Characters>
  <Application>Microsoft Office Word</Application>
  <DocSecurity>0</DocSecurity>
  <Lines>162</Lines>
  <Paragraphs>45</Paragraphs>
  <ScaleCrop>false</ScaleCrop>
  <Company/>
  <LinksUpToDate>false</LinksUpToDate>
  <CharactersWithSpaces>22904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JIANPING WU</dc:creator>
  <cp:keywords/>
  <cp:lastModifiedBy>Windows 用户</cp:lastModifiedBy>
  <cp:revision>10</cp:revision>
  <dcterms:created xsi:type="dcterms:W3CDTF">2026-10-03T06:31:00Z</dcterms:created>
  <dcterms:modified xsi:type="dcterms:W3CDTF">2026-10-10T01:31:00Z</dcterms:modified>
</cp:coreProperties>
</file>