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B0" w:rsidRDefault="008B0FB0" w:rsidP="008B0FB0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B0FB0" w:rsidRDefault="008B0FB0" w:rsidP="008B0FB0">
      <w:pPr>
        <w:pStyle w:val="cjk"/>
        <w:shd w:val="clear" w:color="auto" w:fill="FFFFFF"/>
        <w:spacing w:before="0" w:beforeAutospacing="0" w:after="0" w:afterAutospacing="0" w:line="760" w:lineRule="exact"/>
        <w:ind w:left="2389" w:hangingChars="543" w:hanging="2389"/>
        <w:jc w:val="center"/>
        <w:rPr>
          <w:rFonts w:ascii="小标宋" w:eastAsia="小标宋" w:hAnsi="仿宋"/>
          <w:color w:val="000000"/>
          <w:sz w:val="44"/>
          <w:szCs w:val="44"/>
        </w:rPr>
      </w:pPr>
      <w:bookmarkStart w:id="0" w:name="_GoBack"/>
      <w:r>
        <w:rPr>
          <w:rFonts w:ascii="小标宋" w:eastAsia="小标宋" w:hAnsi="仿宋" w:hint="eastAsia"/>
          <w:color w:val="000000"/>
          <w:sz w:val="44"/>
          <w:szCs w:val="44"/>
        </w:rPr>
        <w:t>海智特聘专家</w:t>
      </w:r>
      <w:r>
        <w:rPr>
          <w:rFonts w:ascii="小标宋" w:eastAsia="小标宋" w:hAnsi="仿宋"/>
          <w:color w:val="000000"/>
          <w:sz w:val="44"/>
          <w:szCs w:val="44"/>
        </w:rPr>
        <w:t>推荐优先</w:t>
      </w:r>
      <w:r>
        <w:rPr>
          <w:rFonts w:ascii="小标宋" w:eastAsia="小标宋" w:hAnsi="仿宋" w:hint="eastAsia"/>
          <w:color w:val="000000"/>
          <w:sz w:val="44"/>
          <w:szCs w:val="44"/>
        </w:rPr>
        <w:t>领域</w:t>
      </w:r>
    </w:p>
    <w:bookmarkEnd w:id="0"/>
    <w:p w:rsidR="008B0FB0" w:rsidRDefault="008B0FB0" w:rsidP="008B0FB0">
      <w:pPr>
        <w:shd w:val="clear" w:color="auto" w:fill="FFFFFF"/>
        <w:spacing w:line="560" w:lineRule="exact"/>
        <w:rPr>
          <w:rFonts w:ascii="黑体" w:eastAsia="黑体" w:hAnsi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960"/>
        <w:gridCol w:w="5254"/>
      </w:tblGrid>
      <w:tr w:rsidR="008B0FB0" w:rsidTr="00E95C04">
        <w:trPr>
          <w:trHeight w:val="668"/>
          <w:tblHeader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bidi="ar"/>
              </w:rPr>
              <w:t>领域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FB0" w:rsidRDefault="008B0FB0" w:rsidP="00E95C04">
            <w:pPr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bidi="ar"/>
              </w:rPr>
              <w:t>专业</w:t>
            </w:r>
          </w:p>
        </w:tc>
      </w:tr>
      <w:tr w:rsidR="008B0FB0" w:rsidTr="00E95C0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（一）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基础前沿交叉科学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应用数学</w:t>
            </w: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与交叉科学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量子科学与技术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纳米生物和化学生物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新能源化学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先进光源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脑</w:t>
            </w: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科学与智能技术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计量基标准</w:t>
            </w: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数据科学与技术</w:t>
            </w:r>
          </w:p>
        </w:tc>
      </w:tr>
      <w:tr w:rsidR="008B0FB0" w:rsidTr="00E95C04">
        <w:trPr>
          <w:trHeight w:val="2221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（二）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先进</w:t>
            </w: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能源技术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非化石能源科学与工程</w:t>
            </w: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 xml:space="preserve"> 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能源互联网与综合能源系统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.碳捕集、转化利用和封存技术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氢能与储能技术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光伏</w:t>
            </w:r>
            <w:r>
              <w:rPr>
                <w:rFonts w:ascii="仿宋_GB2312" w:eastAsia="仿宋_GB2312" w:hAnsi="仿宋_GB2312" w:cs="仿宋_GB2312"/>
                <w:szCs w:val="28"/>
              </w:rPr>
              <w:t>发电技术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大容量海上风力发电技术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电力</w:t>
            </w:r>
            <w:r>
              <w:rPr>
                <w:rFonts w:ascii="仿宋_GB2312" w:eastAsia="仿宋_GB2312" w:hAnsi="仿宋_GB2312" w:cs="仿宋_GB2312" w:hint="eastAsia"/>
                <w:spacing w:val="-6"/>
                <w:szCs w:val="28"/>
                <w:lang w:bidi="ar"/>
              </w:rPr>
              <w:t>电子</w:t>
            </w: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大规模</w:t>
            </w:r>
            <w:r>
              <w:rPr>
                <w:rFonts w:ascii="仿宋_GB2312" w:eastAsia="仿宋_GB2312" w:hAnsi="仿宋_GB2312" w:cs="仿宋_GB2312"/>
                <w:spacing w:val="-17"/>
                <w:szCs w:val="28"/>
                <w:lang w:bidi="ar"/>
              </w:rPr>
              <w:t>储能</w:t>
            </w:r>
            <w:r>
              <w:rPr>
                <w:rFonts w:ascii="仿宋_GB2312" w:eastAsia="仿宋_GB2312" w:hAnsi="仿宋_GB2312" w:cs="仿宋_GB2312" w:hint="eastAsia"/>
                <w:spacing w:val="-17"/>
                <w:szCs w:val="28"/>
                <w:lang w:bidi="ar"/>
              </w:rPr>
              <w:t>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Cs w:val="28"/>
                <w:lang w:bidi="ar"/>
              </w:rPr>
              <w:t>分布式能源输送</w:t>
            </w:r>
          </w:p>
        </w:tc>
      </w:tr>
      <w:tr w:rsidR="008B0FB0" w:rsidTr="00E95C0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（三）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新一代信息技术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光子信息技术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光电集成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新一代光通信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人机交互、虚拟现实和增强现实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 xml:space="preserve"> DNA存储技术 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下一代互联网技术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工业互联网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数字化制造与物联网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人工智能</w:t>
            </w: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高性能计算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大数据和云计算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17"/>
                <w:szCs w:val="28"/>
                <w:lang w:bidi="ar"/>
              </w:rPr>
              <w:t>信息通信网络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17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Cs w:val="28"/>
                <w:lang w:bidi="ar"/>
              </w:rPr>
              <w:lastRenderedPageBreak/>
              <w:t>基础器件及装备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17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Cs w:val="28"/>
                <w:lang w:bidi="ar"/>
              </w:rPr>
              <w:t>网络安全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17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Cs w:val="28"/>
                <w:lang w:bidi="ar"/>
              </w:rPr>
              <w:t>金融科技与数字金融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17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Cs w:val="28"/>
                <w:lang w:bidi="ar"/>
              </w:rPr>
              <w:t>数字税与数字经济</w:t>
            </w:r>
          </w:p>
        </w:tc>
      </w:tr>
      <w:tr w:rsidR="008B0FB0" w:rsidTr="00E95C04">
        <w:trPr>
          <w:trHeight w:val="615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lastRenderedPageBreak/>
              <w:t>（四）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先进材料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材料基因工程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生物医用材料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关键结构材料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柔性电子材料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新能源材料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先进复合材料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纳米材料与器件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先进半导体材料</w:t>
            </w:r>
          </w:p>
        </w:tc>
      </w:tr>
      <w:tr w:rsidR="008B0FB0" w:rsidTr="00E95C04">
        <w:trPr>
          <w:trHeight w:val="157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（五）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textAlignment w:val="center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海洋、空间与地球开发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海洋信息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海洋科学与观测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空间科学及卫星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矿产资源勘探与开发</w:t>
            </w:r>
          </w:p>
        </w:tc>
      </w:tr>
      <w:tr w:rsidR="008B0FB0" w:rsidTr="00E95C04">
        <w:trPr>
          <w:trHeight w:val="268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（六）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先进装备制造与智能制造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微纳制造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绿色制造技术及装备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先进成形技术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绿色交通</w:t>
            </w: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智能制造</w:t>
            </w: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系统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11"/>
                <w:szCs w:val="28"/>
                <w:lang w:bidi="ar"/>
              </w:rPr>
              <w:t>机器人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</w:rPr>
              <w:t>高速铁路</w:t>
            </w:r>
            <w:r>
              <w:rPr>
                <w:rFonts w:ascii="仿宋_GB2312" w:eastAsia="仿宋_GB2312" w:hAnsi="仿宋_GB2312" w:cs="仿宋_GB2312" w:hint="eastAsia"/>
                <w:szCs w:val="28"/>
              </w:rPr>
              <w:t>与轨道交通装备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 xml:space="preserve">增材制造 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船舶及海洋工程装备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精密及超精密制造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高性能医疗装备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传感器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高端数控机床与基础制造装备</w:t>
            </w: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 xml:space="preserve"> </w:t>
            </w:r>
          </w:p>
        </w:tc>
      </w:tr>
      <w:tr w:rsidR="008B0FB0" w:rsidTr="00E95C04">
        <w:trPr>
          <w:trHeight w:val="1232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（七）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农业与粮食安全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农业生物制造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Cs w:val="28"/>
                <w:lang w:bidi="ar"/>
              </w:rPr>
              <w:t>智慧育种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生物育种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农业绿色防控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</w:rPr>
              <w:lastRenderedPageBreak/>
              <w:t>农产品加工与食品安全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现代农业工程与装备</w:t>
            </w:r>
          </w:p>
        </w:tc>
      </w:tr>
      <w:tr w:rsidR="008B0FB0" w:rsidTr="00E95C0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lastRenderedPageBreak/>
              <w:t>（八）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资源生态环境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11"/>
                <w:szCs w:val="28"/>
                <w:lang w:bidi="ar"/>
              </w:rPr>
              <w:t> 气候变化经济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Cs w:val="28"/>
                <w:lang w:bidi="ar"/>
              </w:rPr>
              <w:t>固碳增汇技术</w:t>
            </w: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 xml:space="preserve"> 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11"/>
                <w:szCs w:val="28"/>
                <w:lang w:bidi="ar"/>
              </w:rPr>
              <w:t>生态资源保护与修复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化学品管控与生态环境安全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新型水利水电及大坝工程</w:t>
            </w: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 xml:space="preserve"> </w:t>
            </w:r>
          </w:p>
        </w:tc>
      </w:tr>
      <w:tr w:rsidR="008B0FB0" w:rsidTr="00E95C0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（九）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现代医学与前沿生物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生物医学大数据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系统生物学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纳米生物医学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分子影像技术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生物分子与生命过程调控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合成生物学与生物制造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传染病预防与光谱疫苗研发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人工智能与智慧医疗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基因编辑和核酸新技术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干细胞及转化研究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发育的遗传</w:t>
            </w: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、环境调控与生殖健康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转化医学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Cs w:val="28"/>
                <w:lang w:bidi="ar"/>
              </w:rPr>
              <w:t>中医药学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-6"/>
                <w:szCs w:val="28"/>
                <w:lang w:bidi="ar"/>
              </w:rPr>
              <w:t>重大新药创制</w:t>
            </w:r>
          </w:p>
        </w:tc>
      </w:tr>
      <w:tr w:rsidR="008B0FB0" w:rsidTr="00E95C0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（十）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FB0" w:rsidRDefault="008B0FB0" w:rsidP="00E95C04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  <w:lang w:bidi="ar"/>
              </w:rPr>
              <w:t>低碳、</w:t>
            </w:r>
            <w:r>
              <w:rPr>
                <w:rFonts w:ascii="仿宋_GB2312" w:eastAsia="仿宋_GB2312" w:hAnsi="仿宋_GB2312" w:cs="仿宋_GB2312"/>
                <w:szCs w:val="28"/>
                <w:lang w:bidi="ar"/>
              </w:rPr>
              <w:t>智慧城市和数字社会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智能交互与感知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无人驾驶技术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城市大数据计算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综合智慧交通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智能建筑与设施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绿色建筑与节能技术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信息技术与社会治理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土木工程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供应链与智慧物流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金融科技与科技金融</w:t>
            </w:r>
          </w:p>
          <w:p w:rsidR="008B0FB0" w:rsidRDefault="008B0FB0" w:rsidP="00E95C04">
            <w:pPr>
              <w:numPr>
                <w:ilvl w:val="0"/>
                <w:numId w:val="1"/>
              </w:numPr>
              <w:tabs>
                <w:tab w:val="left" w:pos="0"/>
              </w:tabs>
              <w:spacing w:line="400" w:lineRule="exact"/>
              <w:jc w:val="left"/>
              <w:textAlignment w:val="top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科技相关法律咨询</w:t>
            </w:r>
          </w:p>
        </w:tc>
      </w:tr>
    </w:tbl>
    <w:p w:rsidR="008B0FB0" w:rsidRDefault="008B0FB0" w:rsidP="008B0FB0">
      <w:pPr>
        <w:shd w:val="clear" w:color="auto" w:fill="FFFFFF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0FB0" w:rsidRDefault="008B0FB0" w:rsidP="008B0FB0">
      <w:pPr>
        <w:pStyle w:val="cjk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 w:cs="仿宋_GB2312"/>
          <w:sz w:val="32"/>
          <w:szCs w:val="32"/>
        </w:rPr>
      </w:pPr>
    </w:p>
    <w:p w:rsidR="008B0FB0" w:rsidRDefault="008B0FB0" w:rsidP="008B0FB0">
      <w:pPr>
        <w:tabs>
          <w:tab w:val="right" w:pos="9720"/>
        </w:tabs>
        <w:spacing w:line="500" w:lineRule="exact"/>
        <w:ind w:leftChars="100" w:left="1120" w:rightChars="100" w:right="280" w:hangingChars="300" w:hanging="840"/>
        <w:textAlignment w:val="bottom"/>
        <w:rPr>
          <w:rFonts w:ascii="仿宋_GB2312" w:eastAsia="仿宋_GB2312" w:hAnsi="Garamond" w:hint="eastAsia"/>
          <w:szCs w:val="28"/>
        </w:rPr>
      </w:pPr>
    </w:p>
    <w:p w:rsidR="00297024" w:rsidRDefault="00297024" w:rsidP="008B0FB0"/>
    <w:sectPr w:rsidR="0029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Garamond">
    <w:charset w:val="00"/>
    <w:family w:val="roman"/>
    <w:pitch w:val="default"/>
    <w:sig w:usb0="00000287" w:usb1="00000000" w:usb2="00000000" w:usb3="00000000" w:csb0="0000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B0"/>
    <w:rsid w:val="00297024"/>
    <w:rsid w:val="008B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D0A0"/>
  <w15:chartTrackingRefBased/>
  <w15:docId w15:val="{26E49A26-54AF-493D-B652-29C05187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B0FB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jk">
    <w:name w:val="cjk"/>
    <w:basedOn w:val="a"/>
    <w:qFormat/>
    <w:rsid w:val="008B0FB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B0FB0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8B0FB0"/>
    <w:rPr>
      <w:rFonts w:ascii="Times New Roman" w:eastAsia="宋体" w:hAnsi="Times New Roman" w:cs="Times New Roman"/>
      <w:kern w:val="0"/>
      <w:sz w:val="28"/>
      <w:szCs w:val="20"/>
    </w:rPr>
  </w:style>
  <w:style w:type="paragraph" w:styleId="a0">
    <w:name w:val="Body Text First Indent"/>
    <w:basedOn w:val="a4"/>
    <w:link w:val="a6"/>
    <w:uiPriority w:val="99"/>
    <w:semiHidden/>
    <w:unhideWhenUsed/>
    <w:rsid w:val="008B0FB0"/>
    <w:pPr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8B0FB0"/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2022-09-02T06:19:00Z</dcterms:created>
  <dcterms:modified xsi:type="dcterms:W3CDTF">2022-09-02T06:20:00Z</dcterms:modified>
</cp:coreProperties>
</file>