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FC" w:rsidRDefault="00ED5330" w:rsidP="00E06053">
      <w:pPr>
        <w:pStyle w:val="a6"/>
        <w:spacing w:before="0" w:after="0" w:line="360" w:lineRule="auto"/>
        <w:ind w:firstLineChars="200" w:firstLine="64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第三十三届</w:t>
      </w:r>
      <w:r w:rsidR="006F48FC" w:rsidRPr="00D93776">
        <w:rPr>
          <w:rFonts w:asciiTheme="majorEastAsia" w:eastAsiaTheme="majorEastAsia" w:hAnsiTheme="majorEastAsia" w:hint="eastAsia"/>
        </w:rPr>
        <w:t>中国仿真大会分会场主席征集通知</w:t>
      </w:r>
    </w:p>
    <w:p w:rsidR="00996D96" w:rsidRPr="00996D96" w:rsidRDefault="00996D96" w:rsidP="00996D96"/>
    <w:p w:rsidR="006F48FC" w:rsidRPr="006F48FC" w:rsidRDefault="00ED5330" w:rsidP="007E5BEE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24"/>
          <w:szCs w:val="24"/>
        </w:rPr>
      </w:pPr>
      <w:bookmarkStart w:id="0" w:name="_GoBack"/>
      <w:r w:rsidRPr="00ED5330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第三十三届中国仿真大会（2021年经理事长办公会议批准更名）是由中国仿真学会主办的学术年会，每年举办一次，是国内仿真领域最大规模、综合性和影响力最强的大型综合性学术会议，旨在为仿真领域的专家学者和企业提供一个展示创新成果、展望未来发展的高端学术平台，搭建一座产学研用多放方合作的桥梁，助力和推动不同学科领域的交叉融合，引领仿真与科学技术学科的发展。本次会议将接收中英文投稿，优秀论文推荐到国际期刊和中文核心期刊发表。</w:t>
      </w:r>
    </w:p>
    <w:p w:rsidR="00F0202D" w:rsidRPr="00AE6E45" w:rsidRDefault="007E5BEE" w:rsidP="00984A6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7E5BEE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第三十三届中国仿真大会主题为“仿真与工业互联网”，拟定于2021年10月15~17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日在青岛召开，</w:t>
      </w:r>
      <w:r w:rsidR="006F48FC" w:rsidRPr="006F48FC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邀请</w:t>
      </w:r>
      <w:r w:rsidR="0085782A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仿真</w:t>
      </w:r>
      <w:r w:rsidR="006F48FC" w:rsidRPr="006F48FC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领域专家学者与企业代表出席。大会采取“</w:t>
      </w:r>
      <w:r w:rsidR="0085782A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1+</w:t>
      </w:r>
      <w:r w:rsidR="00984A66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+</w:t>
      </w:r>
      <w:r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24"/>
          <w:szCs w:val="24"/>
        </w:rPr>
        <w:t>3</w:t>
      </w:r>
      <w:r w:rsidR="006F48FC" w:rsidRPr="006F48FC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”的会议开展模式，即</w:t>
      </w:r>
      <w:r w:rsidR="00F0202D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1</w:t>
      </w:r>
      <w:r w:rsidR="006F48FC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个学术</w:t>
      </w:r>
      <w:r w:rsidR="00F0202D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主会场</w:t>
      </w:r>
      <w:r w:rsidR="006F48FC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+</w:t>
      </w:r>
      <w:r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个</w:t>
      </w:r>
      <w:r w:rsidR="00F0202D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学术分会场+</w:t>
      </w:r>
      <w:r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个特色分会场</w:t>
      </w:r>
      <w:r w:rsidR="006F48FC" w:rsidRPr="006F48FC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，预计规模将达</w:t>
      </w:r>
      <w:r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24"/>
          <w:szCs w:val="24"/>
        </w:rPr>
        <w:t>800</w:t>
      </w:r>
      <w:r w:rsidR="006F48FC" w:rsidRPr="006F48FC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人。</w:t>
      </w:r>
      <w:r w:rsidR="00F0202D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会议形式采用线下与线上直播结合方式，大会将邀请新华社、中央电视台、</w:t>
      </w:r>
      <w:proofErr w:type="gramStart"/>
      <w:r w:rsidR="00F0202D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凤凰网</w:t>
      </w:r>
      <w:proofErr w:type="gramEnd"/>
      <w:r w:rsidR="00F0202D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等国内顶</w:t>
      </w:r>
      <w:r w:rsidR="00F0202D" w:rsidRPr="00AE6E45">
        <w:rPr>
          <w:rFonts w:asciiTheme="majorEastAsia" w:eastAsiaTheme="majorEastAsia" w:hAnsiTheme="majorEastAsia" w:hint="eastAsia"/>
          <w:sz w:val="24"/>
          <w:szCs w:val="24"/>
        </w:rPr>
        <w:t>级媒体全程直播报道。</w:t>
      </w:r>
    </w:p>
    <w:p w:rsidR="003848D9" w:rsidRDefault="006F48FC" w:rsidP="00984A6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6F48FC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现面向</w:t>
      </w:r>
      <w:r w:rsidR="00F0202D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国内仿真领域</w:t>
      </w:r>
      <w:r w:rsidRPr="006F48FC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征集</w:t>
      </w:r>
      <w:r w:rsidR="00E4216A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第三十三届</w:t>
      </w:r>
      <w:r w:rsidR="00F0202D" w:rsidRPr="00AE6E4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中国仿真大会</w:t>
      </w:r>
      <w:r w:rsidRPr="006F48FC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分会场主席。</w:t>
      </w:r>
      <w:r w:rsidR="00420240"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具体内容如下：</w:t>
      </w:r>
    </w:p>
    <w:p w:rsidR="006F48FC" w:rsidRPr="003848D9" w:rsidRDefault="006F48FC" w:rsidP="003848D9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0" w:firstLineChars="0" w:firstLine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3848D9">
        <w:rPr>
          <w:b/>
          <w:bCs/>
          <w:sz w:val="24"/>
        </w:rPr>
        <w:t>学术</w:t>
      </w:r>
      <w:proofErr w:type="gramStart"/>
      <w:r w:rsidRPr="003848D9">
        <w:rPr>
          <w:b/>
          <w:bCs/>
          <w:sz w:val="24"/>
        </w:rPr>
        <w:t>交流分</w:t>
      </w:r>
      <w:proofErr w:type="gramEnd"/>
      <w:r w:rsidRPr="003848D9">
        <w:rPr>
          <w:b/>
          <w:bCs/>
          <w:sz w:val="24"/>
        </w:rPr>
        <w:t>会场主题设置（拟）</w:t>
      </w:r>
    </w:p>
    <w:p w:rsidR="00984A66" w:rsidRDefault="006F48FC" w:rsidP="00984A66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24"/>
          <w:szCs w:val="24"/>
        </w:rPr>
      </w:pPr>
      <w:r w:rsidRPr="00984A66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本次大会设置</w:t>
      </w:r>
      <w:r w:rsidR="007E5BEE"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24"/>
          <w:szCs w:val="24"/>
        </w:rPr>
        <w:t>8</w:t>
      </w:r>
      <w:r w:rsidR="000D19FA" w:rsidRPr="00984A66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个学术</w:t>
      </w:r>
      <w:proofErr w:type="gramStart"/>
      <w:r w:rsidR="000D19FA" w:rsidRPr="00984A66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交流分</w:t>
      </w:r>
      <w:proofErr w:type="gramEnd"/>
      <w:r w:rsidR="000D19FA" w:rsidRPr="00984A66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会场，分会场围绕</w:t>
      </w:r>
      <w:r w:rsidR="00FD31E5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4"/>
          <w:szCs w:val="24"/>
        </w:rPr>
        <w:t>以下16个方面进行研讨：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仿真科学与技术的理论基础、方法学；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仿真与工业互联网；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人工智能与仿真；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连续系统/离散事件系统/混合系统/智能系统的建模与仿真；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复杂系统/开放、复杂、巨系统的建模与仿真；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综合自然环境及虚拟现实环境的建模与仿真；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飞行仿真、仿真器、仿真支撑环境、仿真标准及仿真系统构建；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高性能计算、并行计算、云计算、边缘计算、嵌入式计算及其仿真；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CAD/CAE/CAM/CIMS/VP/VM/VR/SBA，基于模型的系统工程；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建模/仿真可信度建模、分析及评估方法及VV&amp;A技术；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大数据对仿真的挑战、需求及大数据生态系统的知识服务；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lastRenderedPageBreak/>
        <w:t>建模/仿真在科学/工程/社会/经济/管理/能源/交通/生命/生物/医学等领域的应用；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建模/仿真在环境保护、公共安全、防灾/减灾中的应用；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建模/仿真在军事领域的应用；</w:t>
      </w:r>
    </w:p>
    <w:p w:rsidR="007E5BEE" w:rsidRPr="007E5BEE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建模/仿真在教育与培训中的应用；</w:t>
      </w:r>
    </w:p>
    <w:p w:rsidR="00FD31E5" w:rsidRPr="00FD31E5" w:rsidRDefault="007E5BEE" w:rsidP="007E5BEE">
      <w:pPr>
        <w:pStyle w:val="a7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建模/仿真在娱乐与体育中的应用。</w:t>
      </w:r>
    </w:p>
    <w:p w:rsidR="006F48FC" w:rsidRPr="006F48FC" w:rsidRDefault="006F48FC" w:rsidP="003848D9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0" w:firstLineChars="0" w:firstLine="0"/>
        <w:jc w:val="left"/>
        <w:rPr>
          <w:b/>
          <w:bCs/>
          <w:sz w:val="24"/>
        </w:rPr>
      </w:pPr>
      <w:r w:rsidRPr="003848D9">
        <w:rPr>
          <w:b/>
          <w:bCs/>
          <w:sz w:val="24"/>
        </w:rPr>
        <w:t>特色分会场主题设置</w:t>
      </w:r>
    </w:p>
    <w:p w:rsidR="006F48FC" w:rsidRPr="00AE6E45" w:rsidRDefault="006F48FC" w:rsidP="00FD31E5">
      <w:pPr>
        <w:pStyle w:val="a7"/>
        <w:widowControl/>
        <w:numPr>
          <w:ilvl w:val="0"/>
          <w:numId w:val="20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891467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中国</w:t>
      </w:r>
      <w:r w:rsidR="0026197C" w:rsidRPr="00891467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仿真</w:t>
      </w:r>
      <w:r w:rsidRPr="00891467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学会青年科学家论坛</w:t>
      </w:r>
    </w:p>
    <w:p w:rsidR="006F48FC" w:rsidRDefault="006F48FC" w:rsidP="00F11BE1">
      <w:pPr>
        <w:pStyle w:val="a7"/>
        <w:widowControl/>
        <w:shd w:val="clear" w:color="auto" w:fill="FFFFFF"/>
        <w:spacing w:line="360" w:lineRule="auto"/>
        <w:ind w:firstLine="54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为扶持</w:t>
      </w:r>
      <w:r w:rsidR="00AE6E45"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仿真科学与技术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优秀青年科技工作者学术成长，培养学术带头人和科技领军人才，为</w:t>
      </w:r>
      <w:r w:rsidR="00AE6E45"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仿真领域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青年科技工作者设立交流平台，推动</w:t>
      </w:r>
      <w:r w:rsidR="00AE6E45"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仿真领域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青年科技工作者拓宽学术视野，开拓学术思路，提高学术水平，搭建</w:t>
      </w:r>
      <w:r w:rsidR="00AE6E45"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仿真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技术交流沟通的桥梁。</w:t>
      </w:r>
    </w:p>
    <w:p w:rsidR="005C3C90" w:rsidRPr="00891467" w:rsidRDefault="005C3C90" w:rsidP="00FD31E5">
      <w:pPr>
        <w:pStyle w:val="a7"/>
        <w:widowControl/>
        <w:numPr>
          <w:ilvl w:val="0"/>
          <w:numId w:val="20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891467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中国仿真产业展会</w:t>
      </w:r>
    </w:p>
    <w:p w:rsidR="005C3C90" w:rsidRPr="00891467" w:rsidRDefault="005C3C90" w:rsidP="00FD31E5">
      <w:pPr>
        <w:pStyle w:val="a7"/>
        <w:widowControl/>
        <w:numPr>
          <w:ilvl w:val="0"/>
          <w:numId w:val="20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891467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中国银行-工业互联网学院全国企业家仿真专题讲座</w:t>
      </w:r>
      <w:r w:rsid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（拟）</w:t>
      </w:r>
    </w:p>
    <w:p w:rsidR="006F48FC" w:rsidRPr="006F48FC" w:rsidRDefault="006F48FC" w:rsidP="003848D9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0" w:firstLineChars="0" w:firstLine="0"/>
        <w:jc w:val="left"/>
        <w:rPr>
          <w:b/>
          <w:bCs/>
          <w:sz w:val="24"/>
        </w:rPr>
      </w:pPr>
      <w:r w:rsidRPr="003848D9">
        <w:rPr>
          <w:b/>
          <w:bCs/>
          <w:sz w:val="24"/>
        </w:rPr>
        <w:t>分会场组织形式</w:t>
      </w:r>
    </w:p>
    <w:p w:rsidR="006F48FC" w:rsidRPr="0038140F" w:rsidRDefault="006F48FC" w:rsidP="00470BA9">
      <w:pPr>
        <w:pStyle w:val="a7"/>
        <w:widowControl/>
        <w:numPr>
          <w:ilvl w:val="0"/>
          <w:numId w:val="19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报告会形式：以报告为主体，每个报告结束后进行问答互动，</w:t>
      </w:r>
      <w:r w:rsidR="0041769B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一般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报告（30</w:t>
      </w:r>
      <w:r w:rsidR="00620269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分钟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），具体报告顺序由分会场主席确定；</w:t>
      </w:r>
    </w:p>
    <w:p w:rsidR="006F48FC" w:rsidRPr="0038140F" w:rsidRDefault="006F48FC" w:rsidP="00470BA9">
      <w:pPr>
        <w:pStyle w:val="a7"/>
        <w:widowControl/>
        <w:numPr>
          <w:ilvl w:val="0"/>
          <w:numId w:val="19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其他形式：采取沙龙、圆桌会议或其它适合自由研讨交流的形式，每个主题发言之后安排集中讨论和争辩质疑。</w:t>
      </w:r>
    </w:p>
    <w:p w:rsidR="00420240" w:rsidRDefault="006F48FC" w:rsidP="00470BA9">
      <w:pPr>
        <w:pStyle w:val="a7"/>
        <w:widowControl/>
        <w:numPr>
          <w:ilvl w:val="0"/>
          <w:numId w:val="19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分会场组织时间：分会场时长以0.5天为一单元，最多组织不可超过</w:t>
      </w:r>
      <w:r w:rsidR="0026197C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2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个单元，即</w:t>
      </w:r>
      <w:r w:rsidR="0026197C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1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天。具体分会场时长由主席根据各自分会场前期筹备情况决定。</w:t>
      </w:r>
    </w:p>
    <w:p w:rsidR="007E5BEE" w:rsidRPr="007E5BEE" w:rsidRDefault="007E5BEE" w:rsidP="00400ED0">
      <w:pPr>
        <w:pStyle w:val="a7"/>
        <w:widowControl/>
        <w:numPr>
          <w:ilvl w:val="0"/>
          <w:numId w:val="19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分会场特设环节：在每个分会场中，请分会场主席安排做本领域专业及产业简要介绍（1</w:t>
      </w:r>
      <w:r w:rsidRPr="007E5BEE"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  <w:t>0-20</w:t>
      </w: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分钟），大会安排青岛</w:t>
      </w:r>
      <w:r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市本</w:t>
      </w:r>
      <w:r w:rsidRP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专业相关的需求单位到场，进行企业技术需求对接洽谈。</w:t>
      </w:r>
    </w:p>
    <w:p w:rsidR="006F48FC" w:rsidRPr="006F48FC" w:rsidRDefault="006F48FC" w:rsidP="003848D9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0" w:firstLineChars="0" w:firstLine="0"/>
        <w:jc w:val="left"/>
        <w:rPr>
          <w:b/>
          <w:bCs/>
          <w:sz w:val="24"/>
        </w:rPr>
      </w:pPr>
      <w:r w:rsidRPr="003848D9">
        <w:rPr>
          <w:b/>
          <w:bCs/>
          <w:sz w:val="24"/>
        </w:rPr>
        <w:t>时间节点及工作安排</w:t>
      </w:r>
    </w:p>
    <w:p w:rsidR="006F48FC" w:rsidRPr="0038140F" w:rsidRDefault="006F48FC" w:rsidP="00FB44F5">
      <w:pPr>
        <w:pStyle w:val="a7"/>
        <w:widowControl/>
        <w:numPr>
          <w:ilvl w:val="0"/>
          <w:numId w:val="17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2021年</w:t>
      </w:r>
      <w:r w:rsidR="0026197C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4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月，</w:t>
      </w:r>
      <w:r w:rsidR="0026197C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2021年中国仿真大会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学术</w:t>
      </w:r>
      <w:proofErr w:type="gramStart"/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交流分</w:t>
      </w:r>
      <w:proofErr w:type="gramEnd"/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会场及特色活动分会场主席申请表文件征集截止，并与</w:t>
      </w:r>
      <w:r w:rsidR="0026197C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4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月中下旬召开分会场主席遴选会；</w:t>
      </w:r>
    </w:p>
    <w:p w:rsidR="006F48FC" w:rsidRPr="0038140F" w:rsidRDefault="006F48FC" w:rsidP="00FB44F5">
      <w:pPr>
        <w:pStyle w:val="a7"/>
        <w:widowControl/>
        <w:numPr>
          <w:ilvl w:val="0"/>
          <w:numId w:val="17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lastRenderedPageBreak/>
        <w:t>2021年</w:t>
      </w:r>
      <w:r w:rsidR="005B6E52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4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月，组织召开分会场主席第一次工作会议</w:t>
      </w:r>
      <w:r w:rsidR="005C16B9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，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明确</w:t>
      </w:r>
      <w:r w:rsidR="002A03ED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与分会场主席分工。</w:t>
      </w:r>
    </w:p>
    <w:p w:rsidR="006F48FC" w:rsidRPr="0038140F" w:rsidRDefault="006F48FC" w:rsidP="00FB44F5">
      <w:pPr>
        <w:pStyle w:val="a7"/>
        <w:widowControl/>
        <w:numPr>
          <w:ilvl w:val="0"/>
          <w:numId w:val="17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2021年</w:t>
      </w:r>
      <w:r w:rsidR="00E21810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9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月，组织召开分会场主席第</w:t>
      </w:r>
      <w:r w:rsidR="00481FF5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二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次工作会议，汇报现阶段分会场筹备情况，并给出分会场规模、报告安排（报告</w:t>
      </w:r>
      <w:r w:rsidR="001E6C1D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5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个及以上</w:t>
      </w:r>
      <w:r w:rsidR="005C16B9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，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会场规模不</w:t>
      </w:r>
      <w:r w:rsidR="005C16B9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能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少于30人），如需</w:t>
      </w:r>
      <w:proofErr w:type="gramStart"/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合并分</w:t>
      </w:r>
      <w:proofErr w:type="gramEnd"/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会场需与</w:t>
      </w:r>
      <w:r w:rsidR="002A03ED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沟通；</w:t>
      </w:r>
    </w:p>
    <w:p w:rsidR="006F48FC" w:rsidRPr="0038140F" w:rsidRDefault="008C1AFD" w:rsidP="00FB44F5">
      <w:pPr>
        <w:pStyle w:val="a7"/>
        <w:widowControl/>
        <w:numPr>
          <w:ilvl w:val="0"/>
          <w:numId w:val="17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2021年10月，会上</w:t>
      </w:r>
      <w:r w:rsidR="006F48FC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各分会场会议上进行人员签到、记录工作；</w:t>
      </w:r>
    </w:p>
    <w:p w:rsidR="006F48FC" w:rsidRPr="0038140F" w:rsidRDefault="006F48FC" w:rsidP="00FB44F5">
      <w:pPr>
        <w:pStyle w:val="a7"/>
        <w:widowControl/>
        <w:numPr>
          <w:ilvl w:val="0"/>
          <w:numId w:val="17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2021年</w:t>
      </w:r>
      <w:r w:rsidR="008C1AFD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11</w:t>
      </w:r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月，提交各会场签到表、学术报告</w:t>
      </w:r>
      <w:proofErr w:type="spellStart"/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ppt</w:t>
      </w:r>
      <w:proofErr w:type="spellEnd"/>
      <w:r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、会议现场及学术报告人照片、“优秀分会场”调查表等会议资料，并撰写活动总结、学术成果提炼总结报送</w:t>
      </w:r>
      <w:r w:rsidR="008C1AFD" w:rsidRPr="0038140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="007E5BEE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。</w:t>
      </w:r>
    </w:p>
    <w:p w:rsidR="006F48FC" w:rsidRPr="006F48FC" w:rsidRDefault="006F48FC" w:rsidP="003848D9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0" w:firstLineChars="0" w:firstLine="0"/>
        <w:jc w:val="left"/>
        <w:rPr>
          <w:b/>
          <w:bCs/>
          <w:sz w:val="24"/>
        </w:rPr>
      </w:pPr>
      <w:r w:rsidRPr="003848D9">
        <w:rPr>
          <w:b/>
          <w:bCs/>
          <w:sz w:val="24"/>
        </w:rPr>
        <w:t>分会场主席权利</w:t>
      </w:r>
    </w:p>
    <w:p w:rsidR="006F48FC" w:rsidRPr="00DA5D55" w:rsidRDefault="006F48FC" w:rsidP="00DA5D55">
      <w:pPr>
        <w:pStyle w:val="a7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各分会场</w:t>
      </w:r>
      <w:r w:rsidR="008C1AFD"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设一位</w:t>
      </w: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主席</w:t>
      </w:r>
      <w:r w:rsidR="00924F98"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和</w:t>
      </w:r>
      <w:proofErr w:type="gramStart"/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一</w:t>
      </w:r>
      <w:proofErr w:type="gramEnd"/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位分会场秘书；</w:t>
      </w:r>
    </w:p>
    <w:p w:rsidR="006F48FC" w:rsidRPr="00DA5D55" w:rsidRDefault="006F48FC" w:rsidP="00DA5D55">
      <w:pPr>
        <w:pStyle w:val="a7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每个分会场可免除两位参会者注册费（包含分会场主席在内）；</w:t>
      </w:r>
    </w:p>
    <w:p w:rsidR="006F48FC" w:rsidRPr="00DA5D55" w:rsidRDefault="006F48FC" w:rsidP="00DA5D55">
      <w:pPr>
        <w:pStyle w:val="a7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超过30人的分会场，分会场主席可向大会申请增加2名</w:t>
      </w:r>
      <w:proofErr w:type="gramStart"/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免注册</w:t>
      </w:r>
      <w:proofErr w:type="gramEnd"/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费名额，超过</w:t>
      </w:r>
      <w:r w:rsidR="008C1AFD"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60</w:t>
      </w: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人的分会场，分会场主席可向大会申请会议筹备资金，具体详情请与</w:t>
      </w:r>
      <w:r w:rsidR="002A03ED"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="00C3058A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协商</w:t>
      </w:r>
      <w:r w:rsid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；</w:t>
      </w:r>
    </w:p>
    <w:p w:rsidR="006F48FC" w:rsidRPr="00DA5D55" w:rsidRDefault="006F48FC" w:rsidP="00DA5D55">
      <w:pPr>
        <w:pStyle w:val="a7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分会场主席</w:t>
      </w:r>
      <w:proofErr w:type="gramStart"/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每邀请</w:t>
      </w:r>
      <w:proofErr w:type="gramEnd"/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一名院士出席</w:t>
      </w:r>
      <w:r w:rsidR="00C3058A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或做报告</w:t>
      </w: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，</w:t>
      </w:r>
      <w:r w:rsidR="009350B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并</w:t>
      </w:r>
      <w:r w:rsidR="008C1AFD"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参加主会场学术活动并</w:t>
      </w: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可向大会申请增加2名</w:t>
      </w:r>
      <w:proofErr w:type="gramStart"/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免注册</w:t>
      </w:r>
      <w:proofErr w:type="gramEnd"/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费名额；</w:t>
      </w:r>
      <w:r w:rsidR="008C1AFD"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 xml:space="preserve"> </w:t>
      </w:r>
    </w:p>
    <w:p w:rsidR="006F48FC" w:rsidRPr="00DA5D55" w:rsidRDefault="006F48FC" w:rsidP="00DA5D55">
      <w:pPr>
        <w:pStyle w:val="a7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分会场主席</w:t>
      </w:r>
      <w:proofErr w:type="gramStart"/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每邀请</w:t>
      </w:r>
      <w:proofErr w:type="gramEnd"/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一家赞助单位，分会场主席或其团队将获得不同等级的筹备金额</w:t>
      </w:r>
      <w:r w:rsidR="009350B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或</w:t>
      </w: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免费参会名额支持，具体形式待</w:t>
      </w:r>
      <w:r w:rsidR="009350BF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商议确定后告知</w:t>
      </w:r>
      <w:r w:rsid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；</w:t>
      </w:r>
    </w:p>
    <w:p w:rsidR="006F48FC" w:rsidRPr="00DA5D55" w:rsidRDefault="006F48FC" w:rsidP="00DA5D55">
      <w:pPr>
        <w:pStyle w:val="a7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分会场主席可优先向大会推荐优秀论文，被推荐的论文可优先发表在</w:t>
      </w:r>
      <w:r w:rsidR="008C1AFD"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《系统仿真学报》和《</w:t>
      </w:r>
      <w:r w:rsidR="00924F98" w:rsidRPr="00DA5D55"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  <w:t>International Journal of Modeling, Simulation, and Scientific Computing》</w:t>
      </w:r>
      <w:r w:rsidR="008C1AFD"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》</w:t>
      </w:r>
      <w:r w:rsidR="00924F98" w:rsidRPr="00DA5D55"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  <w:t>（EI源刊）</w:t>
      </w: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刊物上；</w:t>
      </w:r>
    </w:p>
    <w:p w:rsidR="006F48FC" w:rsidRPr="00DA5D55" w:rsidRDefault="006F48FC" w:rsidP="00DA5D55">
      <w:pPr>
        <w:pStyle w:val="a7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分会场主席可获得会务组颁发的分会场主席荣誉证书，并向分会场特邀报告人颁发大会制作的荣誉证书；</w:t>
      </w:r>
    </w:p>
    <w:p w:rsidR="00DA5D55" w:rsidRPr="00DA5D55" w:rsidRDefault="006F48FC" w:rsidP="00DA5D55">
      <w:pPr>
        <w:pStyle w:val="a7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参与“优秀分会场”评选，获得“优秀分会场”称号的分会场将获得</w:t>
      </w:r>
      <w:r w:rsidR="002A03ED"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提供专项经费奖励；</w:t>
      </w:r>
    </w:p>
    <w:p w:rsidR="00420240" w:rsidRPr="00DA5D55" w:rsidRDefault="00DA5D55" w:rsidP="00DA5D55">
      <w:pPr>
        <w:pStyle w:val="a7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DA5D5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lastRenderedPageBreak/>
        <w:t>如学会分支机构承办分会场在年底考核中加分。</w:t>
      </w:r>
    </w:p>
    <w:p w:rsidR="006F48FC" w:rsidRPr="006F48FC" w:rsidRDefault="006F48FC" w:rsidP="003848D9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0" w:firstLineChars="0" w:firstLine="0"/>
        <w:jc w:val="left"/>
        <w:rPr>
          <w:b/>
          <w:bCs/>
          <w:sz w:val="24"/>
        </w:rPr>
      </w:pPr>
      <w:r w:rsidRPr="003848D9">
        <w:rPr>
          <w:b/>
          <w:bCs/>
          <w:sz w:val="24"/>
        </w:rPr>
        <w:t>分会场主席义务</w:t>
      </w:r>
    </w:p>
    <w:p w:rsidR="006F48FC" w:rsidRPr="006F48FC" w:rsidRDefault="006F48FC" w:rsidP="00996D96">
      <w:pPr>
        <w:widowControl/>
        <w:shd w:val="clear" w:color="auto" w:fill="FFFFFF"/>
        <w:spacing w:line="360" w:lineRule="auto"/>
        <w:ind w:firstLineChars="200" w:firstLine="542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AE6E45">
        <w:rPr>
          <w:rFonts w:asciiTheme="majorEastAsia" w:eastAsiaTheme="majorEastAsia" w:hAnsiTheme="majorEastAsia" w:cs="宋体" w:hint="eastAsia"/>
          <w:b/>
          <w:bCs/>
          <w:color w:val="000000"/>
          <w:spacing w:val="15"/>
          <w:kern w:val="0"/>
          <w:sz w:val="24"/>
          <w:szCs w:val="24"/>
        </w:rPr>
        <w:t>（一）学术类</w:t>
      </w:r>
    </w:p>
    <w:p w:rsidR="006F48FC" w:rsidRPr="00056996" w:rsidRDefault="008C1146" w:rsidP="00056996">
      <w:pPr>
        <w:pStyle w:val="a7"/>
        <w:widowControl/>
        <w:numPr>
          <w:ilvl w:val="0"/>
          <w:numId w:val="10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056996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分会场主席接到大会邀请函后，</w:t>
      </w:r>
      <w:r w:rsidR="006F48FC" w:rsidRPr="00056996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组织</w:t>
      </w:r>
      <w:r w:rsidRPr="00056996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分会场</w:t>
      </w:r>
      <w:r w:rsidR="006F48FC" w:rsidRPr="00056996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学术报告；</w:t>
      </w:r>
    </w:p>
    <w:p w:rsidR="006F48FC" w:rsidRPr="00056996" w:rsidRDefault="006F48FC" w:rsidP="00056996">
      <w:pPr>
        <w:pStyle w:val="a7"/>
        <w:widowControl/>
        <w:numPr>
          <w:ilvl w:val="0"/>
          <w:numId w:val="10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056996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负责所在分会场组织规模；</w:t>
      </w:r>
    </w:p>
    <w:p w:rsidR="006F48FC" w:rsidRPr="00056996" w:rsidRDefault="006F48FC" w:rsidP="00056996">
      <w:pPr>
        <w:pStyle w:val="a7"/>
        <w:widowControl/>
        <w:numPr>
          <w:ilvl w:val="0"/>
          <w:numId w:val="10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056996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确定分会场报告人，并于2021年8月前将信息报送</w:t>
      </w:r>
      <w:r w:rsidR="002A03ED" w:rsidRPr="00056996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="00056996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。</w:t>
      </w:r>
    </w:p>
    <w:p w:rsidR="006F48FC" w:rsidRPr="006F48FC" w:rsidRDefault="006F48FC" w:rsidP="00996D96">
      <w:pPr>
        <w:widowControl/>
        <w:shd w:val="clear" w:color="auto" w:fill="FFFFFF"/>
        <w:spacing w:line="360" w:lineRule="auto"/>
        <w:ind w:firstLineChars="200" w:firstLine="542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AE6E45">
        <w:rPr>
          <w:rFonts w:asciiTheme="majorEastAsia" w:eastAsiaTheme="majorEastAsia" w:hAnsiTheme="majorEastAsia" w:cs="宋体" w:hint="eastAsia"/>
          <w:b/>
          <w:bCs/>
          <w:color w:val="000000"/>
          <w:spacing w:val="15"/>
          <w:kern w:val="0"/>
          <w:sz w:val="24"/>
          <w:szCs w:val="24"/>
        </w:rPr>
        <w:t>（二）会务组织</w:t>
      </w:r>
    </w:p>
    <w:p w:rsidR="006F48FC" w:rsidRPr="002873C5" w:rsidRDefault="006F48FC" w:rsidP="002873C5">
      <w:pPr>
        <w:pStyle w:val="a7"/>
        <w:widowControl/>
        <w:numPr>
          <w:ilvl w:val="0"/>
          <w:numId w:val="12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组织参会嘉宾参与分会讨论；会场规模为不少于30人；</w:t>
      </w:r>
    </w:p>
    <w:p w:rsidR="002B47E5" w:rsidRDefault="006F48FC" w:rsidP="002873C5">
      <w:pPr>
        <w:pStyle w:val="a7"/>
        <w:widowControl/>
        <w:numPr>
          <w:ilvl w:val="0"/>
          <w:numId w:val="12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分会场主席需安排确定本分会场秘书，由分会场秘书与</w:t>
      </w:r>
      <w:r w:rsidR="002B47E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工作人员</w:t>
      </w:r>
      <w:proofErr w:type="gramStart"/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沟通分</w:t>
      </w:r>
      <w:proofErr w:type="gramEnd"/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会场事宜进展；</w:t>
      </w:r>
    </w:p>
    <w:p w:rsidR="006F48FC" w:rsidRDefault="006F48FC" w:rsidP="002873C5">
      <w:pPr>
        <w:pStyle w:val="a7"/>
        <w:widowControl/>
        <w:numPr>
          <w:ilvl w:val="0"/>
          <w:numId w:val="12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各分会场所包含设备设施为</w:t>
      </w:r>
      <w:r w:rsidR="00ED4A80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统一的</w:t>
      </w:r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会场配套设施，如需特殊设备需求，请与</w:t>
      </w:r>
      <w:r w:rsidR="002A03ED"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商议；</w:t>
      </w:r>
    </w:p>
    <w:p w:rsidR="006F48FC" w:rsidRPr="002873C5" w:rsidRDefault="006F48FC" w:rsidP="00896E94">
      <w:pPr>
        <w:pStyle w:val="a7"/>
        <w:widowControl/>
        <w:numPr>
          <w:ilvl w:val="0"/>
          <w:numId w:val="12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proofErr w:type="gramStart"/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需出席</w:t>
      </w:r>
      <w:proofErr w:type="gramEnd"/>
      <w:r w:rsidR="008C1146"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2021年中国仿真大会</w:t>
      </w:r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前分会场主席工作会议；</w:t>
      </w:r>
    </w:p>
    <w:p w:rsidR="006F48FC" w:rsidRPr="002873C5" w:rsidRDefault="006F48FC" w:rsidP="00896E94">
      <w:pPr>
        <w:pStyle w:val="a7"/>
        <w:widowControl/>
        <w:numPr>
          <w:ilvl w:val="0"/>
          <w:numId w:val="12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与会期间，分会场主席需全程参与分会场活动，并适时确认与会专家到会情况；</w:t>
      </w:r>
    </w:p>
    <w:p w:rsidR="006F48FC" w:rsidRPr="002873C5" w:rsidRDefault="006F48FC" w:rsidP="00896E94">
      <w:pPr>
        <w:pStyle w:val="a7"/>
        <w:widowControl/>
        <w:numPr>
          <w:ilvl w:val="0"/>
          <w:numId w:val="12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proofErr w:type="gramStart"/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如遇分会场</w:t>
      </w:r>
      <w:proofErr w:type="gramEnd"/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合并情况需与</w:t>
      </w:r>
      <w:r w:rsidR="0036293D"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="002802F2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商议</w:t>
      </w:r>
      <w:r w:rsidRPr="002873C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。</w:t>
      </w:r>
    </w:p>
    <w:p w:rsidR="006F48FC" w:rsidRPr="006F48FC" w:rsidRDefault="006F48FC" w:rsidP="00996D96">
      <w:pPr>
        <w:widowControl/>
        <w:shd w:val="clear" w:color="auto" w:fill="FFFFFF"/>
        <w:spacing w:line="360" w:lineRule="auto"/>
        <w:ind w:firstLineChars="200" w:firstLine="542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AE6E45">
        <w:rPr>
          <w:rFonts w:asciiTheme="majorEastAsia" w:eastAsiaTheme="majorEastAsia" w:hAnsiTheme="majorEastAsia" w:cs="宋体" w:hint="eastAsia"/>
          <w:b/>
          <w:bCs/>
          <w:color w:val="000000"/>
          <w:spacing w:val="15"/>
          <w:kern w:val="0"/>
          <w:sz w:val="24"/>
          <w:szCs w:val="24"/>
        </w:rPr>
        <w:t>（三）会场合并</w:t>
      </w:r>
    </w:p>
    <w:p w:rsidR="006F48FC" w:rsidRPr="006F48FC" w:rsidRDefault="006F48FC" w:rsidP="00996D96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当分会组织人数不足30人时，应于2021年7月1日前与</w:t>
      </w:r>
      <w:r w:rsidR="002802F2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学会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明确分会合并或取消意见。</w:t>
      </w:r>
    </w:p>
    <w:p w:rsidR="006F48FC" w:rsidRPr="006F48FC" w:rsidRDefault="006F48FC" w:rsidP="00996D96">
      <w:pPr>
        <w:widowControl/>
        <w:shd w:val="clear" w:color="auto" w:fill="FFFFFF"/>
        <w:spacing w:line="360" w:lineRule="auto"/>
        <w:ind w:firstLineChars="200" w:firstLine="542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AE6E45">
        <w:rPr>
          <w:rFonts w:asciiTheme="majorEastAsia" w:eastAsiaTheme="majorEastAsia" w:hAnsiTheme="majorEastAsia" w:cs="宋体" w:hint="eastAsia"/>
          <w:b/>
          <w:bCs/>
          <w:color w:val="000000"/>
          <w:spacing w:val="15"/>
          <w:kern w:val="0"/>
          <w:sz w:val="24"/>
          <w:szCs w:val="24"/>
        </w:rPr>
        <w:t>（四）会议结束</w:t>
      </w:r>
    </w:p>
    <w:p w:rsidR="00420240" w:rsidRDefault="006F48FC" w:rsidP="00996D96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活动结束后</w:t>
      </w:r>
      <w:r w:rsidR="00862E80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一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周内，</w:t>
      </w:r>
      <w:proofErr w:type="gramStart"/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安排分</w:t>
      </w:r>
      <w:proofErr w:type="gramEnd"/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会场秘书汇总签到表、学术报告</w:t>
      </w:r>
      <w:proofErr w:type="spellStart"/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ppt</w:t>
      </w:r>
      <w:proofErr w:type="spellEnd"/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、会议现场及学术报告人照片、“优秀分会场”</w:t>
      </w:r>
      <w:r w:rsidR="00862E80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考核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表等会议资料，并撰写活动总结报送</w:t>
      </w:r>
      <w:r w:rsidR="00982D7D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学会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。</w:t>
      </w:r>
    </w:p>
    <w:p w:rsidR="006F48FC" w:rsidRPr="006F48FC" w:rsidRDefault="00420240" w:rsidP="003848D9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0" w:firstLineChars="0" w:firstLine="0"/>
        <w:jc w:val="left"/>
        <w:rPr>
          <w:b/>
          <w:bCs/>
          <w:sz w:val="24"/>
        </w:rPr>
      </w:pPr>
      <w:r w:rsidRPr="003848D9">
        <w:rPr>
          <w:b/>
          <w:bCs/>
          <w:sz w:val="24"/>
        </w:rPr>
        <w:t xml:space="preserve"> </w:t>
      </w:r>
      <w:r w:rsidR="006F48FC" w:rsidRPr="003848D9">
        <w:rPr>
          <w:b/>
          <w:bCs/>
          <w:sz w:val="24"/>
        </w:rPr>
        <w:t>“</w:t>
      </w:r>
      <w:r w:rsidR="006F48FC" w:rsidRPr="003848D9">
        <w:rPr>
          <w:b/>
          <w:bCs/>
          <w:sz w:val="24"/>
        </w:rPr>
        <w:t>优秀分会场</w:t>
      </w:r>
      <w:r w:rsidR="006F48FC" w:rsidRPr="003848D9">
        <w:rPr>
          <w:b/>
          <w:bCs/>
          <w:sz w:val="24"/>
        </w:rPr>
        <w:t>”</w:t>
      </w:r>
      <w:r w:rsidR="006F48FC" w:rsidRPr="003848D9">
        <w:rPr>
          <w:b/>
          <w:bCs/>
          <w:sz w:val="24"/>
        </w:rPr>
        <w:t>评选原则</w:t>
      </w:r>
    </w:p>
    <w:p w:rsidR="006F48FC" w:rsidRPr="00896E94" w:rsidRDefault="006F48FC" w:rsidP="00896E94">
      <w:pPr>
        <w:pStyle w:val="a7"/>
        <w:widowControl/>
        <w:numPr>
          <w:ilvl w:val="0"/>
          <w:numId w:val="14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会议规模（</w:t>
      </w:r>
      <w:r w:rsidR="00194E9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30</w:t>
      </w: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分）：须30人以上，以注册信息及签到情况为准</w:t>
      </w:r>
      <w:r w:rsid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；</w:t>
      </w:r>
    </w:p>
    <w:p w:rsidR="006F48FC" w:rsidRPr="00896E94" w:rsidRDefault="006F48FC" w:rsidP="00896E94">
      <w:pPr>
        <w:pStyle w:val="a7"/>
        <w:widowControl/>
        <w:numPr>
          <w:ilvl w:val="0"/>
          <w:numId w:val="14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报告数量（</w:t>
      </w:r>
      <w:r w:rsidR="00194E9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3</w:t>
      </w: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0分）：原则上</w:t>
      </w:r>
      <w:r w:rsidR="00F622B7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5</w:t>
      </w: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个</w:t>
      </w:r>
      <w:r w:rsidR="00F622B7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及</w:t>
      </w:r>
      <w:r w:rsidR="00F622B7"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以上</w:t>
      </w: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，以签到信息、报告人会场照片为准</w:t>
      </w:r>
      <w:r w:rsid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；</w:t>
      </w:r>
    </w:p>
    <w:p w:rsidR="006F48FC" w:rsidRPr="00896E94" w:rsidRDefault="006F48FC" w:rsidP="00896E94">
      <w:pPr>
        <w:pStyle w:val="a7"/>
        <w:widowControl/>
        <w:numPr>
          <w:ilvl w:val="0"/>
          <w:numId w:val="14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会务执行（</w:t>
      </w:r>
      <w:r w:rsidR="00194E9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20</w:t>
      </w: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分）：按相关时间节点提交情况进展及会后总结。</w:t>
      </w:r>
    </w:p>
    <w:p w:rsidR="006F48FC" w:rsidRPr="00896E94" w:rsidRDefault="006F48FC" w:rsidP="00896E94">
      <w:pPr>
        <w:pStyle w:val="a7"/>
        <w:widowControl/>
        <w:numPr>
          <w:ilvl w:val="0"/>
          <w:numId w:val="14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lastRenderedPageBreak/>
        <w:t>报告质量（20分）：每位院士报告加3分；每位长江学者、杰青、千人报告加2分；每位教授报告加1分。</w:t>
      </w:r>
    </w:p>
    <w:p w:rsidR="00420240" w:rsidRPr="00896E94" w:rsidRDefault="006F48FC" w:rsidP="00896E94">
      <w:pPr>
        <w:pStyle w:val="a7"/>
        <w:widowControl/>
        <w:numPr>
          <w:ilvl w:val="0"/>
          <w:numId w:val="14"/>
        </w:numPr>
        <w:shd w:val="clear" w:color="auto" w:fill="FFFFFF"/>
        <w:spacing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</w:rPr>
      </w:pP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优秀分会场原则上设置比例为10%，</w:t>
      </w:r>
      <w:r w:rsidR="002A03ED"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学会</w:t>
      </w:r>
      <w:r w:rsidRPr="00896E94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</w:rPr>
        <w:t>将为获奖分会场主席颁发证书，并提供专项经费奖励。</w:t>
      </w:r>
    </w:p>
    <w:p w:rsidR="006F48FC" w:rsidRPr="006F48FC" w:rsidRDefault="006F48FC" w:rsidP="003848D9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0" w:firstLineChars="0" w:firstLine="0"/>
        <w:jc w:val="left"/>
        <w:rPr>
          <w:b/>
          <w:bCs/>
          <w:sz w:val="24"/>
        </w:rPr>
      </w:pPr>
      <w:r w:rsidRPr="003848D9">
        <w:rPr>
          <w:b/>
          <w:bCs/>
          <w:sz w:val="24"/>
        </w:rPr>
        <w:t>申报方式及复函</w:t>
      </w:r>
    </w:p>
    <w:p w:rsidR="006F48FC" w:rsidRPr="006F48FC" w:rsidRDefault="006F48FC" w:rsidP="00996D96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请各申报单位填写电子版</w:t>
      </w:r>
      <w:r w:rsidRPr="00AE6E45">
        <w:rPr>
          <w:rFonts w:asciiTheme="majorEastAsia" w:eastAsiaTheme="majorEastAsia" w:hAnsiTheme="majorEastAsia" w:cs="宋体" w:hint="eastAsia"/>
          <w:b/>
          <w:bCs/>
          <w:color w:val="000000"/>
          <w:spacing w:val="15"/>
          <w:kern w:val="0"/>
          <w:sz w:val="24"/>
          <w:szCs w:val="24"/>
        </w:rPr>
        <w:t>分会场主席申请表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（详见附件），并于</w:t>
      </w:r>
      <w:r w:rsidR="008C1146"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4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月15日前将表格提交至学会秘书处邮箱：</w:t>
      </w:r>
      <w:r w:rsidR="008C1146"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cassimul@vip.sina.com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。信息表及邮件主题统一命名：</w:t>
      </w:r>
      <w:r w:rsidR="00FD5AB6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第三十三届</w:t>
      </w:r>
      <w:r w:rsidR="008C1146"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中国仿真大会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+分会场名称。</w:t>
      </w:r>
    </w:p>
    <w:p w:rsidR="00420240" w:rsidRDefault="006F48FC" w:rsidP="00996D96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各分会场主席经遴选确认后，</w:t>
      </w:r>
      <w:r w:rsidR="002A03ED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学会</w:t>
      </w: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将统一发出明确任命函件至各分会场主席邮箱。</w:t>
      </w:r>
    </w:p>
    <w:p w:rsidR="006F48FC" w:rsidRPr="006F48FC" w:rsidRDefault="006F48FC" w:rsidP="003848D9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567"/>
        </w:tabs>
        <w:spacing w:line="360" w:lineRule="auto"/>
        <w:ind w:left="0" w:firstLineChars="0" w:firstLine="0"/>
        <w:jc w:val="left"/>
        <w:rPr>
          <w:b/>
          <w:bCs/>
          <w:sz w:val="24"/>
        </w:rPr>
      </w:pPr>
      <w:r w:rsidRPr="003848D9">
        <w:rPr>
          <w:b/>
          <w:bCs/>
          <w:sz w:val="24"/>
        </w:rPr>
        <w:t>联系方式</w:t>
      </w:r>
    </w:p>
    <w:p w:rsidR="008C1146" w:rsidRPr="00AE6E45" w:rsidRDefault="008C1146" w:rsidP="00996D96">
      <w:pPr>
        <w:widowControl/>
        <w:shd w:val="clear" w:color="auto" w:fill="FFFFFF"/>
        <w:spacing w:line="360" w:lineRule="auto"/>
        <w:ind w:firstLine="200"/>
        <w:jc w:val="lef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赵</w:t>
      </w:r>
      <w:r w:rsidR="00F613F3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 xml:space="preserve">  </w:t>
      </w:r>
      <w:proofErr w:type="gramStart"/>
      <w:r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罡</w:t>
      </w:r>
      <w:proofErr w:type="gramEnd"/>
      <w:r w:rsidR="006F48FC"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：</w:t>
      </w:r>
      <w:r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13671391176</w:t>
      </w:r>
      <w:r w:rsidR="007E5689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 xml:space="preserve">   </w:t>
      </w:r>
      <w:r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刘诗璇</w:t>
      </w:r>
      <w:r w:rsidR="006F48FC"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：</w:t>
      </w:r>
      <w:r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18611574102</w:t>
      </w:r>
    </w:p>
    <w:p w:rsidR="008C1146" w:rsidRPr="00AE6E45" w:rsidRDefault="006F48FC" w:rsidP="009767BF">
      <w:pPr>
        <w:widowControl/>
        <w:shd w:val="clear" w:color="auto" w:fill="FFFFFF"/>
        <w:spacing w:line="360" w:lineRule="auto"/>
        <w:ind w:firstLineChars="52" w:firstLine="140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联系电话：010-</w:t>
      </w:r>
      <w:r w:rsidR="008C1146" w:rsidRPr="00AE6E45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82317098/82310612</w:t>
      </w:r>
    </w:p>
    <w:p w:rsidR="006F48FC" w:rsidRDefault="006F48FC" w:rsidP="009767BF">
      <w:pPr>
        <w:widowControl/>
        <w:shd w:val="clear" w:color="auto" w:fill="FFFFFF"/>
        <w:spacing w:line="360" w:lineRule="auto"/>
        <w:ind w:firstLineChars="52" w:firstLine="140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联系邮箱：</w:t>
      </w:r>
      <w:hyperlink r:id="rId8" w:history="1">
        <w:r w:rsidR="00990AE4" w:rsidRPr="00AC5BFC">
          <w:rPr>
            <w:rStyle w:val="a8"/>
            <w:rFonts w:asciiTheme="majorEastAsia" w:eastAsiaTheme="majorEastAsia" w:hAnsiTheme="majorEastAsia" w:cs="宋体" w:hint="eastAsia"/>
            <w:spacing w:val="15"/>
            <w:kern w:val="0"/>
            <w:sz w:val="24"/>
            <w:szCs w:val="24"/>
          </w:rPr>
          <w:t>cassimul@vip.sina.com</w:t>
        </w:r>
      </w:hyperlink>
    </w:p>
    <w:p w:rsidR="00990AE4" w:rsidRDefault="00990AE4" w:rsidP="00990AE4">
      <w:pPr>
        <w:widowControl/>
        <w:shd w:val="clear" w:color="auto" w:fill="FFFFFF"/>
        <w:spacing w:line="360" w:lineRule="auto"/>
        <w:ind w:firstLineChars="200" w:firstLine="540"/>
        <w:jc w:val="righ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中国仿真学会</w:t>
      </w:r>
    </w:p>
    <w:p w:rsidR="00990AE4" w:rsidRDefault="00990AE4" w:rsidP="00990AE4">
      <w:pPr>
        <w:widowControl/>
        <w:shd w:val="clear" w:color="auto" w:fill="FFFFFF"/>
        <w:spacing w:line="360" w:lineRule="auto"/>
        <w:ind w:firstLineChars="200" w:firstLine="540"/>
        <w:jc w:val="right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2021.3.18</w:t>
      </w:r>
    </w:p>
    <w:bookmarkEnd w:id="0"/>
    <w:p w:rsidR="006F48FC" w:rsidRDefault="006F48FC" w:rsidP="00AE6E45">
      <w:pPr>
        <w:widowControl/>
        <w:shd w:val="clear" w:color="auto" w:fill="FFFFFF"/>
        <w:spacing w:line="360" w:lineRule="auto"/>
        <w:ind w:firstLineChars="200" w:firstLine="540"/>
        <w:rPr>
          <w:rFonts w:asciiTheme="majorEastAsia" w:eastAsiaTheme="majorEastAsia" w:hAnsiTheme="majorEastAsia" w:cs="宋体"/>
          <w:color w:val="000000"/>
          <w:spacing w:val="15"/>
          <w:kern w:val="0"/>
          <w:sz w:val="24"/>
          <w:szCs w:val="24"/>
        </w:rPr>
      </w:pPr>
      <w:r w:rsidRPr="006F48FC">
        <w:rPr>
          <w:rFonts w:asciiTheme="majorEastAsia" w:eastAsiaTheme="majorEastAsia" w:hAnsiTheme="majorEastAsia" w:cs="宋体" w:hint="eastAsia"/>
          <w:color w:val="000000"/>
          <w:spacing w:val="15"/>
          <w:kern w:val="0"/>
          <w:sz w:val="24"/>
          <w:szCs w:val="24"/>
        </w:rPr>
        <w:t>附件：分会场主席申请表</w:t>
      </w:r>
    </w:p>
    <w:p w:rsidR="006F48FC" w:rsidRPr="00D93776" w:rsidRDefault="00121B19" w:rsidP="00D152BF">
      <w:pPr>
        <w:spacing w:line="360" w:lineRule="auto"/>
        <w:ind w:firstLineChars="500" w:firstLine="1606"/>
        <w:jc w:val="left"/>
        <w:rPr>
          <w:rFonts w:asciiTheme="majorEastAsia" w:eastAsiaTheme="majorEastAsia" w:hAnsiTheme="majorEastAsia" w:cstheme="majorBidi"/>
          <w:b/>
          <w:bCs/>
          <w:sz w:val="32"/>
          <w:szCs w:val="32"/>
        </w:rPr>
      </w:pPr>
      <w:r>
        <w:rPr>
          <w:rStyle w:val="fontstyle01"/>
          <w:rFonts w:asciiTheme="majorEastAsia" w:eastAsiaTheme="majorEastAsia" w:hAnsiTheme="majorEastAsia" w:hint="default"/>
          <w:b/>
        </w:rPr>
        <w:t>第三十三届</w:t>
      </w:r>
      <w:r w:rsidR="008C1146" w:rsidRPr="00D93776">
        <w:rPr>
          <w:rFonts w:asciiTheme="majorEastAsia" w:eastAsiaTheme="majorEastAsia" w:hAnsiTheme="majorEastAsia" w:cstheme="majorBidi" w:hint="eastAsia"/>
          <w:b/>
          <w:bCs/>
          <w:sz w:val="32"/>
          <w:szCs w:val="32"/>
        </w:rPr>
        <w:t>中国仿真大会</w:t>
      </w:r>
      <w:r w:rsidR="006F48FC" w:rsidRPr="00D93776">
        <w:rPr>
          <w:rFonts w:asciiTheme="majorEastAsia" w:eastAsiaTheme="majorEastAsia" w:hAnsiTheme="majorEastAsia" w:cstheme="majorBidi"/>
          <w:b/>
          <w:bCs/>
          <w:sz w:val="32"/>
          <w:szCs w:val="32"/>
        </w:rPr>
        <w:t>分会场</w:t>
      </w:r>
      <w:r w:rsidR="006F48FC" w:rsidRPr="00D93776">
        <w:rPr>
          <w:rFonts w:asciiTheme="majorEastAsia" w:eastAsiaTheme="majorEastAsia" w:hAnsiTheme="majorEastAsia" w:cstheme="majorBidi" w:hint="eastAsia"/>
          <w:b/>
          <w:bCs/>
          <w:sz w:val="32"/>
          <w:szCs w:val="32"/>
        </w:rPr>
        <w:t>主席申请</w:t>
      </w:r>
      <w:r w:rsidR="006F48FC" w:rsidRPr="00D93776">
        <w:rPr>
          <w:rFonts w:asciiTheme="majorEastAsia" w:eastAsiaTheme="majorEastAsia" w:hAnsiTheme="majorEastAsia" w:cstheme="majorBidi"/>
          <w:b/>
          <w:bCs/>
          <w:sz w:val="32"/>
          <w:szCs w:val="32"/>
        </w:rPr>
        <w:t>表</w:t>
      </w:r>
    </w:p>
    <w:p w:rsidR="006F48FC" w:rsidRPr="00D93776" w:rsidRDefault="006F48FC" w:rsidP="00E06053">
      <w:pPr>
        <w:spacing w:line="360" w:lineRule="auto"/>
        <w:ind w:firstLineChars="200" w:firstLine="420"/>
        <w:jc w:val="center"/>
        <w:rPr>
          <w:rFonts w:asciiTheme="majorEastAsia" w:eastAsiaTheme="majorEastAsia" w:hAnsiTheme="majorEastAsia"/>
          <w:sz w:val="24"/>
        </w:rPr>
      </w:pPr>
      <w:r w:rsidRPr="00D93776">
        <w:rPr>
          <w:rFonts w:asciiTheme="majorEastAsia" w:eastAsiaTheme="majorEastAsia" w:hAnsiTheme="majorEastAsia"/>
          <w:szCs w:val="28"/>
        </w:rPr>
        <w:t xml:space="preserve">                  </w:t>
      </w:r>
      <w:r w:rsidRPr="00D93776">
        <w:rPr>
          <w:rFonts w:asciiTheme="majorEastAsia" w:eastAsiaTheme="majorEastAsia" w:hAnsiTheme="majorEastAsia" w:hint="eastAsia"/>
          <w:szCs w:val="28"/>
        </w:rPr>
        <w:t xml:space="preserve">                           </w:t>
      </w:r>
      <w:r w:rsidRPr="00D93776">
        <w:rPr>
          <w:rFonts w:asciiTheme="majorEastAsia" w:eastAsiaTheme="majorEastAsia" w:hAnsiTheme="majorEastAsia"/>
          <w:szCs w:val="28"/>
        </w:rPr>
        <w:t xml:space="preserve">  填表日期：    年</w:t>
      </w:r>
      <w:r w:rsidRPr="00D93776">
        <w:rPr>
          <w:rFonts w:asciiTheme="majorEastAsia" w:eastAsiaTheme="majorEastAsia" w:hAnsiTheme="majorEastAsia" w:hint="eastAsia"/>
          <w:szCs w:val="28"/>
        </w:rPr>
        <w:t xml:space="preserve">    </w:t>
      </w:r>
      <w:r w:rsidRPr="00D93776">
        <w:rPr>
          <w:rFonts w:asciiTheme="majorEastAsia" w:eastAsiaTheme="majorEastAsia" w:hAnsiTheme="majorEastAsia"/>
          <w:szCs w:val="28"/>
        </w:rPr>
        <w:t>月</w:t>
      </w:r>
      <w:r w:rsidRPr="00D93776">
        <w:rPr>
          <w:rFonts w:asciiTheme="majorEastAsia" w:eastAsiaTheme="majorEastAsia" w:hAnsiTheme="majorEastAsia" w:hint="eastAsia"/>
          <w:szCs w:val="28"/>
        </w:rPr>
        <w:t xml:space="preserve">    </w:t>
      </w:r>
      <w:r w:rsidRPr="00D93776">
        <w:rPr>
          <w:rFonts w:asciiTheme="majorEastAsia" w:eastAsiaTheme="majorEastAsia" w:hAnsiTheme="majorEastAsia"/>
          <w:szCs w:val="28"/>
        </w:rPr>
        <w:t>日</w:t>
      </w:r>
    </w:p>
    <w:tbl>
      <w:tblPr>
        <w:tblW w:w="92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500"/>
        <w:gridCol w:w="2022"/>
        <w:gridCol w:w="1567"/>
        <w:gridCol w:w="2276"/>
      </w:tblGrid>
      <w:tr w:rsidR="006F48FC" w:rsidRPr="00D93776" w:rsidTr="002979B1">
        <w:trPr>
          <w:trHeight w:val="375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分会场名称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F48FC" w:rsidRPr="00D93776" w:rsidTr="002979B1">
        <w:trPr>
          <w:trHeight w:val="795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分会场预计</w:t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br/>
              <w:t>规模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30-50人</w:t>
            </w:r>
          </w:p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60-80人</w:t>
            </w:r>
          </w:p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80-100人</w:t>
            </w:r>
          </w:p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100人以上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分会场会期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0.5天</w:t>
            </w:r>
          </w:p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1天</w:t>
            </w:r>
          </w:p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F48FC" w:rsidRPr="00D93776" w:rsidTr="00D152BF">
        <w:trPr>
          <w:trHeight w:val="1508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分会场主题介绍（200字左右）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F48FC" w:rsidRPr="00D93776" w:rsidTr="002979B1">
        <w:trPr>
          <w:trHeight w:val="540"/>
          <w:jc w:val="center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分会场主席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F48FC" w:rsidRPr="00D93776" w:rsidTr="002979B1">
        <w:trPr>
          <w:trHeight w:val="315"/>
          <w:jc w:val="center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单  位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F48FC" w:rsidRPr="00D93776" w:rsidTr="002979B1">
        <w:trPr>
          <w:trHeight w:val="315"/>
          <w:jc w:val="center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 xml:space="preserve">职  </w:t>
            </w:r>
            <w:proofErr w:type="gramStart"/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务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职  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F48FC" w:rsidRPr="00D93776" w:rsidTr="002979B1">
        <w:trPr>
          <w:trHeight w:val="315"/>
          <w:jc w:val="center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proofErr w:type="gramStart"/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邮</w:t>
            </w:r>
            <w:proofErr w:type="gramEnd"/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 xml:space="preserve">  箱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F48FC" w:rsidRPr="00D93776" w:rsidTr="002979B1">
        <w:trPr>
          <w:trHeight w:val="540"/>
          <w:jc w:val="center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分会场秘书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F48FC" w:rsidRPr="00D93776" w:rsidTr="002979B1">
        <w:trPr>
          <w:trHeight w:val="315"/>
          <w:jc w:val="center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单  位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F48FC" w:rsidRPr="00D93776" w:rsidTr="002979B1">
        <w:trPr>
          <w:trHeight w:val="315"/>
          <w:jc w:val="center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 xml:space="preserve">职  </w:t>
            </w:r>
            <w:proofErr w:type="gramStart"/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务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职  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F48FC" w:rsidRPr="00D93776" w:rsidTr="002979B1">
        <w:trPr>
          <w:trHeight w:val="315"/>
          <w:jc w:val="center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proofErr w:type="gramStart"/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邮</w:t>
            </w:r>
            <w:proofErr w:type="gramEnd"/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 xml:space="preserve">  箱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48FC" w:rsidRPr="00D152BF" w:rsidRDefault="006F48FC" w:rsidP="00D152B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</w:tbl>
    <w:p w:rsidR="001F0D2B" w:rsidRPr="00D93776" w:rsidRDefault="006F48FC" w:rsidP="007E5689">
      <w:pPr>
        <w:overflowPunct w:val="0"/>
        <w:autoSpaceDE w:val="0"/>
        <w:autoSpaceDN w:val="0"/>
        <w:adjustRightInd w:val="0"/>
        <w:spacing w:line="360" w:lineRule="auto"/>
        <w:ind w:firstLineChars="200" w:firstLine="482"/>
        <w:rPr>
          <w:rFonts w:asciiTheme="majorEastAsia" w:eastAsiaTheme="majorEastAsia" w:hAnsiTheme="majorEastAsia"/>
        </w:rPr>
      </w:pPr>
      <w:r w:rsidRPr="00D93776">
        <w:rPr>
          <w:rFonts w:asciiTheme="majorEastAsia" w:eastAsiaTheme="majorEastAsia" w:hAnsiTheme="majorEastAsia"/>
          <w:b/>
          <w:sz w:val="24"/>
        </w:rPr>
        <w:t>注:</w:t>
      </w:r>
      <w:r w:rsidRPr="00D93776">
        <w:rPr>
          <w:rFonts w:asciiTheme="majorEastAsia" w:eastAsiaTheme="majorEastAsia" w:hAnsiTheme="majorEastAsia"/>
          <w:sz w:val="24"/>
        </w:rPr>
        <w:t xml:space="preserve"> </w:t>
      </w:r>
      <w:r w:rsidRPr="00D93776">
        <w:rPr>
          <w:rFonts w:asciiTheme="majorEastAsia" w:eastAsiaTheme="majorEastAsia" w:hAnsiTheme="majorEastAsia" w:hint="eastAsia"/>
          <w:b/>
        </w:rPr>
        <w:t>请于2021年</w:t>
      </w:r>
      <w:r w:rsidR="008C1146" w:rsidRPr="00D93776">
        <w:rPr>
          <w:rFonts w:asciiTheme="majorEastAsia" w:eastAsiaTheme="majorEastAsia" w:hAnsiTheme="majorEastAsia" w:hint="eastAsia"/>
          <w:b/>
        </w:rPr>
        <w:t>4</w:t>
      </w:r>
      <w:r w:rsidRPr="00D93776">
        <w:rPr>
          <w:rFonts w:asciiTheme="majorEastAsia" w:eastAsiaTheme="majorEastAsia" w:hAnsiTheme="majorEastAsia" w:hint="eastAsia"/>
          <w:b/>
        </w:rPr>
        <w:t>月15日之前将该表电子版发送到邮箱：</w:t>
      </w:r>
      <w:r w:rsidR="008C1146" w:rsidRPr="00D93776">
        <w:rPr>
          <w:rFonts w:asciiTheme="majorEastAsia" w:eastAsiaTheme="majorEastAsia" w:hAnsiTheme="majorEastAsia" w:cs="宋体" w:hint="eastAsia"/>
          <w:color w:val="000000"/>
          <w:spacing w:val="15"/>
          <w:kern w:val="0"/>
          <w:szCs w:val="21"/>
        </w:rPr>
        <w:t>cassimul@vip.sina.com</w:t>
      </w:r>
    </w:p>
    <w:sectPr w:rsidR="001F0D2B" w:rsidRPr="00D9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DA" w:rsidRDefault="00EB3FDA" w:rsidP="00D152BF">
      <w:r>
        <w:separator/>
      </w:r>
    </w:p>
  </w:endnote>
  <w:endnote w:type="continuationSeparator" w:id="0">
    <w:p w:rsidR="00EB3FDA" w:rsidRDefault="00EB3FDA" w:rsidP="00D1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DA" w:rsidRDefault="00EB3FDA" w:rsidP="00D152BF">
      <w:r>
        <w:separator/>
      </w:r>
    </w:p>
  </w:footnote>
  <w:footnote w:type="continuationSeparator" w:id="0">
    <w:p w:rsidR="00EB3FDA" w:rsidRDefault="00EB3FDA" w:rsidP="00D1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DD"/>
    <w:multiLevelType w:val="hybridMultilevel"/>
    <w:tmpl w:val="6B7C0EE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049204EA"/>
    <w:multiLevelType w:val="hybridMultilevel"/>
    <w:tmpl w:val="6F16F730"/>
    <w:lvl w:ilvl="0" w:tplc="65E8E770">
      <w:start w:val="1"/>
      <w:numFmt w:val="decimal"/>
      <w:lvlText w:val="%1."/>
      <w:lvlJc w:val="left"/>
      <w:pPr>
        <w:ind w:left="90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2">
    <w:nsid w:val="0B4E671F"/>
    <w:multiLevelType w:val="hybridMultilevel"/>
    <w:tmpl w:val="CF0A5A76"/>
    <w:lvl w:ilvl="0" w:tplc="0409000F">
      <w:start w:val="1"/>
      <w:numFmt w:val="decimal"/>
      <w:lvlText w:val="%1."/>
      <w:lvlJc w:val="left"/>
      <w:pPr>
        <w:ind w:left="962" w:hanging="420"/>
      </w:p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3">
    <w:nsid w:val="0DAA6A6E"/>
    <w:multiLevelType w:val="hybridMultilevel"/>
    <w:tmpl w:val="544C62E0"/>
    <w:lvl w:ilvl="0" w:tplc="400C95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E047C4"/>
    <w:multiLevelType w:val="hybridMultilevel"/>
    <w:tmpl w:val="B8541608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>
    <w:nsid w:val="157B4E75"/>
    <w:multiLevelType w:val="hybridMultilevel"/>
    <w:tmpl w:val="63A0559A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1C04695F"/>
    <w:multiLevelType w:val="hybridMultilevel"/>
    <w:tmpl w:val="593CAAC2"/>
    <w:lvl w:ilvl="0" w:tplc="C62C1998">
      <w:start w:val="1"/>
      <w:numFmt w:val="decimalEnclosedCircle"/>
      <w:lvlText w:val="%1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7">
    <w:nsid w:val="263C0041"/>
    <w:multiLevelType w:val="hybridMultilevel"/>
    <w:tmpl w:val="D340B4E0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2DD039BA"/>
    <w:multiLevelType w:val="hybridMultilevel"/>
    <w:tmpl w:val="A2A04458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9">
    <w:nsid w:val="39B63192"/>
    <w:multiLevelType w:val="hybridMultilevel"/>
    <w:tmpl w:val="6B7C0EE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0">
    <w:nsid w:val="40D208AD"/>
    <w:multiLevelType w:val="hybridMultilevel"/>
    <w:tmpl w:val="1AD253CA"/>
    <w:lvl w:ilvl="0" w:tplc="04090013">
      <w:start w:val="1"/>
      <w:numFmt w:val="chineseCountingThousand"/>
      <w:lvlText w:val="%1、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53A062BF"/>
    <w:multiLevelType w:val="hybridMultilevel"/>
    <w:tmpl w:val="6B7C0EE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2">
    <w:nsid w:val="569C7949"/>
    <w:multiLevelType w:val="hybridMultilevel"/>
    <w:tmpl w:val="86B42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3">
      <w:start w:val="1"/>
      <w:numFmt w:val="chineseCountingThousand"/>
      <w:lvlText w:val="%4、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CE8786B"/>
    <w:multiLevelType w:val="hybridMultilevel"/>
    <w:tmpl w:val="F8128064"/>
    <w:lvl w:ilvl="0" w:tplc="0409000F">
      <w:start w:val="1"/>
      <w:numFmt w:val="decimal"/>
      <w:lvlText w:val="%1."/>
      <w:lvlJc w:val="left"/>
      <w:pPr>
        <w:ind w:left="962" w:hanging="420"/>
      </w:p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14">
    <w:nsid w:val="61F35FB6"/>
    <w:multiLevelType w:val="hybridMultilevel"/>
    <w:tmpl w:val="7F348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69158A"/>
    <w:multiLevelType w:val="hybridMultilevel"/>
    <w:tmpl w:val="A2A04458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6">
    <w:nsid w:val="6AAC1DED"/>
    <w:multiLevelType w:val="hybridMultilevel"/>
    <w:tmpl w:val="7B723AE4"/>
    <w:lvl w:ilvl="0" w:tplc="04090013">
      <w:start w:val="1"/>
      <w:numFmt w:val="chineseCountingThousand"/>
      <w:lvlText w:val="%1、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7">
    <w:nsid w:val="716871C2"/>
    <w:multiLevelType w:val="hybridMultilevel"/>
    <w:tmpl w:val="E7507564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8">
    <w:nsid w:val="735670B9"/>
    <w:multiLevelType w:val="hybridMultilevel"/>
    <w:tmpl w:val="6B7C0EE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9">
    <w:nsid w:val="7EB37E4B"/>
    <w:multiLevelType w:val="hybridMultilevel"/>
    <w:tmpl w:val="A2A04458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"/>
  </w:num>
  <w:num w:numId="5">
    <w:abstractNumId w:val="16"/>
  </w:num>
  <w:num w:numId="6">
    <w:abstractNumId w:val="12"/>
  </w:num>
  <w:num w:numId="7">
    <w:abstractNumId w:val="10"/>
  </w:num>
  <w:num w:numId="8">
    <w:abstractNumId w:val="19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7"/>
  </w:num>
  <w:num w:numId="14">
    <w:abstractNumId w:val="15"/>
  </w:num>
  <w:num w:numId="15">
    <w:abstractNumId w:val="13"/>
  </w:num>
  <w:num w:numId="16">
    <w:abstractNumId w:val="0"/>
  </w:num>
  <w:num w:numId="17">
    <w:abstractNumId w:val="9"/>
  </w:num>
  <w:num w:numId="18">
    <w:abstractNumId w:val="6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FC"/>
    <w:rsid w:val="00017C0F"/>
    <w:rsid w:val="00056996"/>
    <w:rsid w:val="000946D6"/>
    <w:rsid w:val="000D19FA"/>
    <w:rsid w:val="00121B19"/>
    <w:rsid w:val="001321DC"/>
    <w:rsid w:val="00142F68"/>
    <w:rsid w:val="00182FCD"/>
    <w:rsid w:val="00191439"/>
    <w:rsid w:val="00194E95"/>
    <w:rsid w:val="001E6C1D"/>
    <w:rsid w:val="001F0D2B"/>
    <w:rsid w:val="001F3E16"/>
    <w:rsid w:val="00236B36"/>
    <w:rsid w:val="0023742E"/>
    <w:rsid w:val="0026197C"/>
    <w:rsid w:val="002802F2"/>
    <w:rsid w:val="00286C73"/>
    <w:rsid w:val="00286E08"/>
    <w:rsid w:val="002873C5"/>
    <w:rsid w:val="002A03ED"/>
    <w:rsid w:val="002B47E5"/>
    <w:rsid w:val="002E7A06"/>
    <w:rsid w:val="00315DCC"/>
    <w:rsid w:val="003345E0"/>
    <w:rsid w:val="00334A0C"/>
    <w:rsid w:val="00351DCE"/>
    <w:rsid w:val="0036293D"/>
    <w:rsid w:val="003745C9"/>
    <w:rsid w:val="0038140F"/>
    <w:rsid w:val="003848D9"/>
    <w:rsid w:val="003B320C"/>
    <w:rsid w:val="0041769B"/>
    <w:rsid w:val="00420240"/>
    <w:rsid w:val="00470BA9"/>
    <w:rsid w:val="00481FF5"/>
    <w:rsid w:val="005B6E52"/>
    <w:rsid w:val="005C16B9"/>
    <w:rsid w:val="005C3C90"/>
    <w:rsid w:val="00620269"/>
    <w:rsid w:val="00663E67"/>
    <w:rsid w:val="00682E16"/>
    <w:rsid w:val="006F48FC"/>
    <w:rsid w:val="00721B48"/>
    <w:rsid w:val="007E5689"/>
    <w:rsid w:val="007E5BEE"/>
    <w:rsid w:val="00813A6C"/>
    <w:rsid w:val="0085782A"/>
    <w:rsid w:val="00862E80"/>
    <w:rsid w:val="00891467"/>
    <w:rsid w:val="00896E94"/>
    <w:rsid w:val="008C1146"/>
    <w:rsid w:val="008C1AFD"/>
    <w:rsid w:val="008F007F"/>
    <w:rsid w:val="00924F98"/>
    <w:rsid w:val="009350BF"/>
    <w:rsid w:val="009767BF"/>
    <w:rsid w:val="00982D7D"/>
    <w:rsid w:val="00984A66"/>
    <w:rsid w:val="00990AE4"/>
    <w:rsid w:val="00996D96"/>
    <w:rsid w:val="00AD4C3C"/>
    <w:rsid w:val="00AE6E45"/>
    <w:rsid w:val="00B152F6"/>
    <w:rsid w:val="00B97FF3"/>
    <w:rsid w:val="00C3058A"/>
    <w:rsid w:val="00CD0C1C"/>
    <w:rsid w:val="00D152BF"/>
    <w:rsid w:val="00D93776"/>
    <w:rsid w:val="00DA5D55"/>
    <w:rsid w:val="00E06053"/>
    <w:rsid w:val="00E21810"/>
    <w:rsid w:val="00E4216A"/>
    <w:rsid w:val="00E958A8"/>
    <w:rsid w:val="00EB3FDA"/>
    <w:rsid w:val="00ED4A80"/>
    <w:rsid w:val="00ED5330"/>
    <w:rsid w:val="00F0202D"/>
    <w:rsid w:val="00F11BE1"/>
    <w:rsid w:val="00F2413E"/>
    <w:rsid w:val="00F613F3"/>
    <w:rsid w:val="00F622B7"/>
    <w:rsid w:val="00F854E7"/>
    <w:rsid w:val="00FB44F5"/>
    <w:rsid w:val="00FD31E5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E6E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48F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F48F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48FC"/>
    <w:rPr>
      <w:sz w:val="18"/>
      <w:szCs w:val="18"/>
    </w:rPr>
  </w:style>
  <w:style w:type="character" w:customStyle="1" w:styleId="fontstyle01">
    <w:name w:val="fontstyle01"/>
    <w:basedOn w:val="a0"/>
    <w:qFormat/>
    <w:rsid w:val="006F48FC"/>
    <w:rPr>
      <w:rFonts w:ascii="黑体" w:eastAsia="黑体" w:hAnsi="黑体" w:hint="eastAsia"/>
      <w:color w:val="000000"/>
      <w:sz w:val="32"/>
      <w:szCs w:val="32"/>
    </w:rPr>
  </w:style>
  <w:style w:type="paragraph" w:styleId="a6">
    <w:name w:val="Title"/>
    <w:basedOn w:val="a"/>
    <w:next w:val="a"/>
    <w:link w:val="Char0"/>
    <w:uiPriority w:val="10"/>
    <w:qFormat/>
    <w:rsid w:val="006F48F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6F48FC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E6E4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rsid w:val="00AE6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90AE4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286C7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86C73"/>
  </w:style>
  <w:style w:type="paragraph" w:styleId="aa">
    <w:name w:val="header"/>
    <w:basedOn w:val="a"/>
    <w:link w:val="Char2"/>
    <w:uiPriority w:val="99"/>
    <w:unhideWhenUsed/>
    <w:rsid w:val="00D15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D152BF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D15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D152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E6E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48F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F48F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48FC"/>
    <w:rPr>
      <w:sz w:val="18"/>
      <w:szCs w:val="18"/>
    </w:rPr>
  </w:style>
  <w:style w:type="character" w:customStyle="1" w:styleId="fontstyle01">
    <w:name w:val="fontstyle01"/>
    <w:basedOn w:val="a0"/>
    <w:qFormat/>
    <w:rsid w:val="006F48FC"/>
    <w:rPr>
      <w:rFonts w:ascii="黑体" w:eastAsia="黑体" w:hAnsi="黑体" w:hint="eastAsia"/>
      <w:color w:val="000000"/>
      <w:sz w:val="32"/>
      <w:szCs w:val="32"/>
    </w:rPr>
  </w:style>
  <w:style w:type="paragraph" w:styleId="a6">
    <w:name w:val="Title"/>
    <w:basedOn w:val="a"/>
    <w:next w:val="a"/>
    <w:link w:val="Char0"/>
    <w:uiPriority w:val="10"/>
    <w:qFormat/>
    <w:rsid w:val="006F48F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6F48FC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E6E4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rsid w:val="00AE6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90AE4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286C7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86C73"/>
  </w:style>
  <w:style w:type="paragraph" w:styleId="aa">
    <w:name w:val="header"/>
    <w:basedOn w:val="a"/>
    <w:link w:val="Char2"/>
    <w:uiPriority w:val="99"/>
    <w:unhideWhenUsed/>
    <w:rsid w:val="00D15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D152BF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D15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D15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mul@vip.s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2021-03-29T01:40:00Z</cp:lastPrinted>
  <dcterms:created xsi:type="dcterms:W3CDTF">2021-03-29T04:41:00Z</dcterms:created>
  <dcterms:modified xsi:type="dcterms:W3CDTF">2021-03-29T04:41:00Z</dcterms:modified>
</cp:coreProperties>
</file>